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14AB" w:rsidRDefault="005952B2">
      <w:pPr>
        <w:pStyle w:val="ConsPlusNormal"/>
        <w:jc w:val="right"/>
      </w:pPr>
      <w:r>
        <w:t>ПРОЕКТ</w:t>
      </w:r>
      <w:bookmarkStart w:id="0" w:name="_GoBack"/>
      <w:bookmarkEnd w:id="0"/>
    </w:p>
    <w:p w:rsidR="001114AB" w:rsidRDefault="001114AB">
      <w:pPr>
        <w:pStyle w:val="ConsPlusNormal"/>
        <w:jc w:val="both"/>
      </w:pPr>
    </w:p>
    <w:p w:rsidR="001114AB" w:rsidRDefault="00A04225">
      <w:pPr>
        <w:pStyle w:val="ConsPlusTitle"/>
        <w:jc w:val="center"/>
      </w:pPr>
      <w:r>
        <w:t>ПРАВИЛА</w:t>
      </w:r>
    </w:p>
    <w:p w:rsidR="001114AB" w:rsidRDefault="00A04225">
      <w:pPr>
        <w:pStyle w:val="ConsPlusTitle"/>
        <w:jc w:val="center"/>
      </w:pPr>
      <w:r>
        <w:t xml:space="preserve">ПРЕДОСТАВЛЕНИЯ И РАСПРЕДЕЛЕНИЯ СУБСИДИЙ </w:t>
      </w:r>
      <w:proofErr w:type="gramStart"/>
      <w:r>
        <w:t>ИЗ</w:t>
      </w:r>
      <w:proofErr w:type="gramEnd"/>
      <w:r>
        <w:t xml:space="preserve"> ОБЛАСТНОГО</w:t>
      </w:r>
    </w:p>
    <w:p w:rsidR="001114AB" w:rsidRDefault="00A04225">
      <w:pPr>
        <w:pStyle w:val="ConsPlusTitle"/>
        <w:jc w:val="center"/>
      </w:pPr>
      <w:r>
        <w:t xml:space="preserve">БЮДЖЕТА МЕСТНЫМ БЮДЖЕТАМ НА СОФИНАНСИРОВАНИЕ </w:t>
      </w:r>
      <w:proofErr w:type="gramStart"/>
      <w:r>
        <w:t>РАСХОДНЫХ</w:t>
      </w:r>
      <w:proofErr w:type="gramEnd"/>
    </w:p>
    <w:p w:rsidR="001114AB" w:rsidRDefault="00A04225">
      <w:pPr>
        <w:pStyle w:val="ConsPlusTitle"/>
        <w:jc w:val="center"/>
      </w:pPr>
      <w:r>
        <w:t>ОБЯЗАТЕЛЬСТВ МУНИЦИПАЛЬНЫХ ОБРАЗОВАНИЙ НА ОПЛАТУ ВЗНОСОВ</w:t>
      </w:r>
    </w:p>
    <w:p w:rsidR="001114AB" w:rsidRDefault="00A04225">
      <w:pPr>
        <w:pStyle w:val="ConsPlusTitle"/>
        <w:jc w:val="center"/>
      </w:pPr>
      <w:r>
        <w:t>НА КАПИТАЛЬНЫЙ РЕМОНТ ЗА МУНИЦИПАЛЬНЫЙ ЖИЛОЙ ФОНД</w:t>
      </w:r>
    </w:p>
    <w:p w:rsidR="001114AB" w:rsidRDefault="001114AB">
      <w:pPr>
        <w:pStyle w:val="ConsPlusNormal"/>
        <w:jc w:val="both"/>
      </w:pPr>
    </w:p>
    <w:p w:rsidR="001114AB" w:rsidRDefault="00A04225">
      <w:pPr>
        <w:pStyle w:val="ConsPlusNormal"/>
        <w:ind w:firstLine="540"/>
        <w:jc w:val="both"/>
      </w:pPr>
      <w:r>
        <w:t>1. Настоящие Правила определяют порядок предоставления и распределения субсидий из областного бюджета местным бюджетам Мурманской области в целях софинансирования расходных обязательств, возникающих при выполнении полномочий органов местного самоуправления по содержанию муниципального жилого фонда (далее соответственно - Правила, субсидии, муниципальное образование).</w:t>
      </w:r>
      <w:bookmarkStart w:id="1" w:name="P10"/>
    </w:p>
    <w:bookmarkEnd w:id="1"/>
    <w:p w:rsidR="001114AB" w:rsidRDefault="00A04225">
      <w:pPr>
        <w:pStyle w:val="ConsPlusNormal"/>
        <w:spacing w:before="240"/>
        <w:ind w:firstLine="540"/>
        <w:jc w:val="both"/>
      </w:pPr>
      <w:r>
        <w:t>2. Субсидии предоставляются в целях софинансирования расходных обязательств муниципальных образований на оплату взносов на капитальный ремонт общего имущества в многоквартирных домах за муниципальный жилой фонд.</w:t>
      </w:r>
    </w:p>
    <w:p w:rsidR="001114AB" w:rsidRDefault="00A04225">
      <w:pPr>
        <w:pStyle w:val="ConsPlusNormal"/>
        <w:spacing w:before="240"/>
        <w:ind w:firstLine="540"/>
        <w:jc w:val="both"/>
      </w:pPr>
      <w:r>
        <w:t xml:space="preserve">3. Субсидии предоставляются в соответствии со статьей 139 Бюджетного кодекса Российской Федерации, постановлением Правительства Мурманской области от 05.09.2011 N 445-ПП "О формировании, предоставлении и распределении субсидий из областного бюджета местным бюджетам Мурманской области" (далее - постановление Правительства Мурманской области от 05.09.2011 N 445-ПП) на цели, указанные в </w:t>
      </w:r>
      <w:hyperlink w:anchor="P10" w:tgtFrame="2. Субсидии предоставляются в целях софинансирования расходных обязательств муниципальных образований на оплату взносов на капитальный ремонт общего имущества в многоквартирных домах за муниципальный жилой фонд.">
        <w:r>
          <w:rPr>
            <w:color w:val="0000FF"/>
          </w:rPr>
          <w:t>пункте 2</w:t>
        </w:r>
      </w:hyperlink>
      <w:r>
        <w:t xml:space="preserve"> настоящих Правил.</w:t>
      </w:r>
    </w:p>
    <w:p w:rsidR="001114AB" w:rsidRDefault="00A04225">
      <w:pPr>
        <w:pStyle w:val="ConsPlusNormal"/>
        <w:spacing w:before="240"/>
        <w:ind w:firstLine="540"/>
        <w:jc w:val="both"/>
      </w:pPr>
      <w:r>
        <w:t>4. Главным распорядителем средств, осуществляющим предоставление субсидий в рамках настоящих Правил, является Министерство строительства Мурманской области (далее - Министерство).</w:t>
      </w:r>
    </w:p>
    <w:p w:rsidR="001114AB" w:rsidRDefault="00A04225">
      <w:pPr>
        <w:pStyle w:val="ConsPlusNormal"/>
        <w:spacing w:before="240"/>
        <w:ind w:firstLine="540"/>
        <w:jc w:val="both"/>
      </w:pPr>
      <w:r>
        <w:t>5. В настоящих Правилах используются термины и понятия:</w:t>
      </w:r>
    </w:p>
    <w:p w:rsidR="001114AB" w:rsidRDefault="00A04225">
      <w:pPr>
        <w:pStyle w:val="ConsPlusNormal"/>
        <w:spacing w:before="240"/>
        <w:ind w:firstLine="540"/>
        <w:jc w:val="both"/>
      </w:pPr>
      <w:r>
        <w:t>- текущий год - год предоставления субсидий;</w:t>
      </w:r>
    </w:p>
    <w:p w:rsidR="001114AB" w:rsidRDefault="00A04225">
      <w:pPr>
        <w:pStyle w:val="ConsPlusNormal"/>
        <w:spacing w:before="240"/>
        <w:ind w:firstLine="540"/>
        <w:jc w:val="both"/>
      </w:pPr>
      <w:r>
        <w:t>- отчетный период - месяц (год), предшествующий текущему месяцу года (году) предоставления субсидий.</w:t>
      </w:r>
    </w:p>
    <w:p w:rsidR="001114AB" w:rsidRDefault="00A04225">
      <w:pPr>
        <w:pStyle w:val="ConsPlusNormal"/>
        <w:spacing w:before="240"/>
        <w:ind w:firstLine="540"/>
        <w:jc w:val="both"/>
      </w:pPr>
      <w:r>
        <w:t xml:space="preserve">6. </w:t>
      </w:r>
      <w:proofErr w:type="gramStart"/>
      <w:r>
        <w:t>Право на получение субсидий имеют муниципальные образования Мурманской области, имеющие в собственности муниципальный жилой фонд в многоквартирных домах, включенных в региональную программу капитального ремонта общего имущества в многоквартирных домах, расположенных на территории Мурманской области, на 2014 - 2043 годы, утвержденную постановлением Правительства Мурманской области от 31.03.2014 N 168-ПП.</w:t>
      </w:r>
      <w:proofErr w:type="gramEnd"/>
    </w:p>
    <w:p w:rsidR="001114AB" w:rsidRDefault="00A04225">
      <w:pPr>
        <w:pStyle w:val="ConsPlusNormal"/>
        <w:spacing w:before="240"/>
        <w:ind w:firstLine="540"/>
        <w:jc w:val="both"/>
      </w:pPr>
      <w:r>
        <w:t>7. Субсидии предоставляются местным бюджетам в соответствии со сводной бюджетной росписью областного бюджета, кассовым планом, в пределах лимитов бюджетных обязательств, предусмотренных Министерству на указанные цели.</w:t>
      </w:r>
    </w:p>
    <w:p w:rsidR="001114AB" w:rsidRDefault="00A04225">
      <w:pPr>
        <w:pStyle w:val="ConsPlusNormal"/>
        <w:spacing w:before="240"/>
        <w:ind w:firstLine="540"/>
        <w:jc w:val="both"/>
      </w:pPr>
      <w:r>
        <w:t xml:space="preserve">8. </w:t>
      </w:r>
      <w:proofErr w:type="gramStart"/>
      <w:r>
        <w:t xml:space="preserve">Размер субсидий определяется Министерством в соответствии с </w:t>
      </w:r>
      <w:hyperlink w:anchor="P69" w:tgtFrame="МЕТОДИКА">
        <w:r>
          <w:rPr>
            <w:color w:val="0000FF"/>
          </w:rPr>
          <w:t>Методикой</w:t>
        </w:r>
      </w:hyperlink>
      <w:r>
        <w:t xml:space="preserve"> распределения субсидий муниципальным образованиям, предоставляемых в целях софинансирования расходных обязательств на оплату взносов на капитальный ремонт общего имущества в многоквартирных домах за муниципальный жилой фонд, согласно приложению N 1 к настоящим Правилам (далее - Методика).</w:t>
      </w:r>
      <w:proofErr w:type="gramEnd"/>
    </w:p>
    <w:p w:rsidR="001114AB" w:rsidRDefault="00A04225">
      <w:pPr>
        <w:pStyle w:val="ConsPlusNormal"/>
        <w:spacing w:before="240"/>
        <w:ind w:firstLine="540"/>
        <w:jc w:val="both"/>
      </w:pPr>
      <w:proofErr w:type="gramStart"/>
      <w:r>
        <w:lastRenderedPageBreak/>
        <w:t>Распределение и перераспределение субсидий местным бюджетам из областного бюджета между муниципальными образованиями утверждается в соответствии с пунктом 2 Правил N 445-ПП).</w:t>
      </w:r>
      <w:proofErr w:type="gramEnd"/>
    </w:p>
    <w:p w:rsidR="001114AB" w:rsidRDefault="00A04225">
      <w:pPr>
        <w:pStyle w:val="ConsPlusNormal"/>
        <w:spacing w:before="240"/>
        <w:ind w:firstLine="540"/>
        <w:jc w:val="both"/>
      </w:pPr>
      <w:r>
        <w:t xml:space="preserve">В целях распределения субсидий между муниципальными образованиями на очередной финансовый год муниципальные образования направляют в срок до 20 июля текущего года </w:t>
      </w:r>
      <w:hyperlink w:anchor="P114" w:tgtFrame="Приложение N 2">
        <w:r>
          <w:rPr>
            <w:color w:val="0000FF"/>
          </w:rPr>
          <w:t>заявку</w:t>
        </w:r>
      </w:hyperlink>
      <w:r>
        <w:t xml:space="preserve"> на получение субсидий по форме согласно приложению N 2 к настоящим Правилам.</w:t>
      </w:r>
    </w:p>
    <w:p w:rsidR="001114AB" w:rsidRDefault="00A04225">
      <w:pPr>
        <w:pStyle w:val="ConsPlusNormal"/>
        <w:spacing w:before="240"/>
        <w:ind w:firstLine="540"/>
        <w:jc w:val="both"/>
      </w:pPr>
      <w:r>
        <w:t xml:space="preserve">После утверждения в установленном порядке закона Мурманской области об областном бюджете на очередной финансовый год и плановый период муниципальные образования предоставляют в Министерство перечень документов, установленный </w:t>
      </w:r>
      <w:hyperlink r:id="rId5" w:anchor="_blank" w:history="1">
        <w:r>
          <w:rPr>
            <w:color w:val="0000FF"/>
          </w:rPr>
          <w:t>пунктом 11</w:t>
        </w:r>
      </w:hyperlink>
      <w:r>
        <w:t xml:space="preserve"> настоящих Правил.</w:t>
      </w:r>
    </w:p>
    <w:p w:rsidR="001114AB" w:rsidRDefault="00A04225">
      <w:pPr>
        <w:pStyle w:val="ConsPlusNormal"/>
        <w:spacing w:before="240"/>
        <w:ind w:firstLine="540"/>
        <w:jc w:val="both"/>
      </w:pPr>
      <w:r>
        <w:t>В соответствии с подпунктом 9 пункта 4 статьи 36 Закона Мурманской области от 11.12.2007 N 919-01-ЗМО "О бюджетном процессе в Мурманской области" средства областного бюджета, предусмотренные на предоставление субсидий, могут быть перераспределены между другими муниципальными образованиями, имеющими право на получение субсидий, в соответствии с Методикой.</w:t>
      </w:r>
    </w:p>
    <w:p w:rsidR="001114AB" w:rsidRDefault="00A04225">
      <w:pPr>
        <w:pStyle w:val="ConsPlusNormal"/>
        <w:spacing w:before="240"/>
        <w:ind w:firstLine="540"/>
        <w:jc w:val="both"/>
      </w:pPr>
      <w:r>
        <w:t xml:space="preserve">В случае приема-передачи муниципального имущества между муниципальными образованиями перераспределение субсидий осуществляется между данными муниципальными образованиями согласно передаваемой площади муниципального имущества на основании </w:t>
      </w:r>
      <w:hyperlink w:anchor="P114" w:tgtFrame="Приложение N 2">
        <w:r>
          <w:rPr>
            <w:color w:val="0000FF"/>
          </w:rPr>
          <w:t>заявок</w:t>
        </w:r>
      </w:hyperlink>
      <w:r>
        <w:t xml:space="preserve"> на получение субсидий по форме, установленной приложением N 2 к настоящим Правилам, и акта приема-передачи муниципального имущества.</w:t>
      </w:r>
    </w:p>
    <w:p w:rsidR="001114AB" w:rsidRDefault="00A04225">
      <w:pPr>
        <w:pStyle w:val="ConsPlusNormal"/>
        <w:spacing w:before="240"/>
        <w:ind w:firstLine="540"/>
        <w:jc w:val="both"/>
      </w:pPr>
      <w:r>
        <w:t xml:space="preserve">В случае перевода жилых помещений многоквартирных домов в нежилые помещения сокращение размера субсидий осуществляется без изменения уровня софинансирования расходного обязательства муниципального образования за счет средств областного </w:t>
      </w:r>
      <w:proofErr w:type="gramStart"/>
      <w:r>
        <w:t>бюджета</w:t>
      </w:r>
      <w:proofErr w:type="gramEnd"/>
      <w:r>
        <w:t xml:space="preserve"> на основании предоставленных муниципальным образованием Министерству оправдательных документов о переводе жилых помещений в нежилые помещения и </w:t>
      </w:r>
      <w:hyperlink w:anchor="P114" w:tgtFrame="Приложение N 2">
        <w:r>
          <w:rPr>
            <w:color w:val="0000FF"/>
          </w:rPr>
          <w:t>заявки</w:t>
        </w:r>
      </w:hyperlink>
      <w:r>
        <w:t xml:space="preserve"> на получение субсидий по форме, установленной приложением N 2 к настоящим Правилам.</w:t>
      </w:r>
    </w:p>
    <w:p w:rsidR="001114AB" w:rsidRDefault="00A04225">
      <w:pPr>
        <w:pStyle w:val="ConsPlusNormal"/>
        <w:spacing w:before="240"/>
        <w:ind w:firstLine="540"/>
        <w:jc w:val="both"/>
      </w:pPr>
      <w:r>
        <w:t>9. Условиями предоставления субсидий являются:</w:t>
      </w:r>
    </w:p>
    <w:p w:rsidR="001114AB" w:rsidRDefault="00A04225">
      <w:pPr>
        <w:pStyle w:val="ConsPlusNormal"/>
        <w:spacing w:before="240"/>
        <w:ind w:firstLine="540"/>
        <w:jc w:val="both"/>
      </w:pPr>
      <w:r>
        <w:t xml:space="preserve">9.1. Наличие муниципальных программ и мероприятий в указанных программах, направленных на достижение целей предоставления субсидий, установленных </w:t>
      </w:r>
      <w:hyperlink w:anchor="P10" w:tgtFrame="2. Субсидии предоставляются в целях софинансирования расходных обязательств муниципальных образований на оплату взносов на капитальный ремонт общего имущества в многоквартирных домах за муниципальный жилой фонд.">
        <w:r>
          <w:rPr>
            <w:color w:val="0000FF"/>
          </w:rPr>
          <w:t>пунктом 2</w:t>
        </w:r>
      </w:hyperlink>
      <w:r>
        <w:t xml:space="preserve"> настоящих Правил.</w:t>
      </w:r>
    </w:p>
    <w:p w:rsidR="001114AB" w:rsidRDefault="00A04225">
      <w:pPr>
        <w:pStyle w:val="ConsPlusNormal"/>
        <w:spacing w:before="240"/>
        <w:ind w:firstLine="540"/>
        <w:jc w:val="both"/>
      </w:pPr>
      <w:r>
        <w:t xml:space="preserve">9.2. </w:t>
      </w:r>
      <w:proofErr w:type="gramStart"/>
      <w:r>
        <w:t>Заключение соглашения о предоставлении субсидий из областного бюджета местному бюджету, предусматривающего обязательства муниципального образования на софинансирование расходных обязательств на оплату взносов на капитальный ремонт общего имущества в многоквартирных домах за муниципальный жилой фонд, и ответственность за невыполнение предусмотренных соглашением обязательств.</w:t>
      </w:r>
      <w:proofErr w:type="gramEnd"/>
    </w:p>
    <w:p w:rsidR="001114AB" w:rsidRDefault="00A04225">
      <w:pPr>
        <w:pStyle w:val="ConsPlusNormal"/>
        <w:spacing w:before="240"/>
        <w:ind w:firstLine="540"/>
        <w:jc w:val="both"/>
      </w:pPr>
      <w:r>
        <w:t>10. Уровень софинансирования расходного обязательства муниципального образования за счет средств областного бюджета устанавливается в размере, не превышающем предельный уровень софинансирования из областного бюджета расходного обязательства муниципального образования, утвержденный Правительством Мурманской области.</w:t>
      </w:r>
      <w:bookmarkStart w:id="2" w:name="P29"/>
    </w:p>
    <w:bookmarkEnd w:id="2"/>
    <w:p w:rsidR="001114AB" w:rsidRDefault="00A04225">
      <w:pPr>
        <w:pStyle w:val="ConsPlusNormal"/>
        <w:spacing w:before="240"/>
        <w:ind w:firstLine="540"/>
        <w:jc w:val="both"/>
      </w:pPr>
      <w:r>
        <w:t xml:space="preserve">11. Предоставление субсидий местному бюджету осуществляется на основании соглашений, заключенных между Министерством и администрациями муниципальных образований в </w:t>
      </w:r>
      <w:r>
        <w:lastRenderedPageBreak/>
        <w:t>программном комплексе "Реестр соглашений" электронной системы "</w:t>
      </w:r>
      <w:proofErr w:type="spellStart"/>
      <w:r>
        <w:t>Web</w:t>
      </w:r>
      <w:proofErr w:type="spellEnd"/>
      <w:r>
        <w:t>-Бюджет" в соответствии с типовой формой, утвержденной Министерством финансов Мурманской области (далее - Соглашение, программный комплекс). Представление отчетности, предусмотренной Соглашением, осуществляется посредством программного комплекса.</w:t>
      </w:r>
    </w:p>
    <w:p w:rsidR="001114AB" w:rsidRDefault="00A04225">
      <w:pPr>
        <w:pStyle w:val="ConsPlusNormal"/>
        <w:spacing w:before="240"/>
        <w:ind w:firstLine="540"/>
        <w:jc w:val="both"/>
      </w:pPr>
      <w:r>
        <w:t xml:space="preserve">Сроки и порядок предоставления отчетности об осуществлении расходов местного бюджета, в целях софинансирования которых предоставляются субсидии, о достижении </w:t>
      </w:r>
      <w:proofErr w:type="gramStart"/>
      <w:r>
        <w:t>значений показателей результативности использования субсидий</w:t>
      </w:r>
      <w:proofErr w:type="gramEnd"/>
      <w:r>
        <w:t xml:space="preserve"> устанавливаются Соглашением.</w:t>
      </w:r>
    </w:p>
    <w:p w:rsidR="001114AB" w:rsidRDefault="00A04225">
      <w:pPr>
        <w:pStyle w:val="ConsPlusNormal"/>
        <w:spacing w:before="240"/>
        <w:ind w:firstLine="540"/>
        <w:jc w:val="both"/>
      </w:pPr>
      <w:r>
        <w:t>Министерством может устанавливаться дополнительный перечень необходимых документов и формы отчетности.</w:t>
      </w:r>
    </w:p>
    <w:p w:rsidR="001114AB" w:rsidRDefault="00A04225">
      <w:pPr>
        <w:pStyle w:val="ConsPlusNormal"/>
        <w:spacing w:before="240"/>
        <w:ind w:firstLine="540"/>
        <w:jc w:val="both"/>
      </w:pPr>
      <w:r>
        <w:t>Соглашение должно содержать положения, установленные пунктом 7 Правил формирования, предоставления и распределения субсидий из областного бюджета местным бюджетам Мурманской области, утвержденных постановлением Правительства Мурманской области от 05.09.2011 N 445-ПП.</w:t>
      </w:r>
    </w:p>
    <w:p w:rsidR="001114AB" w:rsidRDefault="00A04225">
      <w:pPr>
        <w:pStyle w:val="ConsPlusNormal"/>
        <w:spacing w:before="240"/>
        <w:ind w:firstLine="540"/>
        <w:jc w:val="both"/>
      </w:pPr>
      <w:r>
        <w:t>В случае внесения в закон Мурманской области об областном бюджете на очередной финансовый год и плановый период и (или) нормативный правовой акт Правительства Мурманской области изменений, предусматривающих уточнение в соответствующем финансовом году объемов бюджетных ассигнований на предоставление субсидий, в Соглашение вносятся соответствующие изменения.</w:t>
      </w:r>
    </w:p>
    <w:p w:rsidR="001114AB" w:rsidRDefault="00A04225">
      <w:pPr>
        <w:pStyle w:val="ConsPlusNormal"/>
        <w:spacing w:before="240"/>
        <w:ind w:firstLine="540"/>
        <w:jc w:val="both"/>
      </w:pPr>
      <w:proofErr w:type="gramStart"/>
      <w:r>
        <w:t xml:space="preserve">В случае если объем бюджетных ассигнований в местном бюджете на исполнение расходного обязательства муниципального образования предусмотрен в объеме, превышающем размер расходного обязательства муниципального образования, в целях софинансирования которого предоставляются субсидии, указанные бюджетные ассигнования предусматриваются по иным кодам классификации расходов, отличным от кодов классификации расходов местных бюджетов, по которым предусмотрены бюджетные ассигнования на исполнение расходного обязательства муниципального образования, </w:t>
      </w:r>
      <w:proofErr w:type="spellStart"/>
      <w:r>
        <w:t>софинансируемого</w:t>
      </w:r>
      <w:proofErr w:type="spellEnd"/>
      <w:r>
        <w:t xml:space="preserve"> из областного</w:t>
      </w:r>
      <w:proofErr w:type="gramEnd"/>
      <w:r>
        <w:t xml:space="preserve"> бюджета, либо уровень софинансирования, указываемый в Соглашении, рассчитывается исходя из общего объема бюджетных ассигнований, предусмотренных в местном бюджете на исполнение расходного обязательства, и суммы субсидий, предоставляемых из областного бюджета.</w:t>
      </w:r>
    </w:p>
    <w:p w:rsidR="001114AB" w:rsidRDefault="00A04225">
      <w:pPr>
        <w:pStyle w:val="ConsPlusNormal"/>
        <w:spacing w:before="240"/>
        <w:ind w:firstLine="540"/>
        <w:jc w:val="both"/>
      </w:pPr>
      <w:r>
        <w:t>В случае внесения изменений в муниципальные программы и мероприятия в указанных программах, которые влекут изменения объемов финансового обеспечения и (или) показателей результативности и (или) изменение состава мероприятий, в целях софинансирования которых предоставляются субсидии, муниципальное образование обеспечивает согласование соответствующих изменений с Министерством.</w:t>
      </w:r>
    </w:p>
    <w:p w:rsidR="001114AB" w:rsidRDefault="00A04225">
      <w:pPr>
        <w:pStyle w:val="ConsPlusNormal"/>
        <w:spacing w:before="240"/>
        <w:ind w:firstLine="540"/>
        <w:jc w:val="both"/>
      </w:pPr>
      <w:r>
        <w:t>Для заключения Соглашения муниципальное образование направляет в Министерство в срок до 1 февраля текущего года следующие документы:</w:t>
      </w:r>
    </w:p>
    <w:p w:rsidR="001114AB" w:rsidRDefault="00A04225">
      <w:pPr>
        <w:pStyle w:val="ConsPlusNormal"/>
        <w:spacing w:before="240"/>
        <w:ind w:firstLine="540"/>
        <w:jc w:val="both"/>
      </w:pPr>
      <w:r>
        <w:t>- копию правового акта (муниципальной программы), заверенную в установленном порядке;</w:t>
      </w:r>
    </w:p>
    <w:p w:rsidR="001114AB" w:rsidRDefault="00A04225">
      <w:pPr>
        <w:pStyle w:val="ConsPlusNormal"/>
        <w:spacing w:before="240"/>
        <w:ind w:firstLine="540"/>
        <w:jc w:val="both"/>
      </w:pPr>
      <w:r>
        <w:t>- документ, подтверждающий полномочия лица, подписавшего Соглашение;</w:t>
      </w:r>
    </w:p>
    <w:p w:rsidR="001114AB" w:rsidRDefault="00A04225">
      <w:pPr>
        <w:pStyle w:val="ConsPlusNormal"/>
        <w:spacing w:before="240"/>
        <w:ind w:firstLine="540"/>
        <w:jc w:val="both"/>
      </w:pPr>
      <w:r>
        <w:t>- копии договоров на уплату взносов на капитальный ремонт в текущем году, заверенные в установленном порядке.</w:t>
      </w:r>
    </w:p>
    <w:p w:rsidR="001114AB" w:rsidRDefault="00A04225">
      <w:pPr>
        <w:pStyle w:val="ConsPlusNormal"/>
        <w:spacing w:before="240"/>
        <w:ind w:firstLine="540"/>
        <w:jc w:val="both"/>
      </w:pPr>
      <w:r>
        <w:t xml:space="preserve">Неполное представление документов, указанных в настоящем пункте Правил, или представление документов, не соответствующих условиям предоставления субсидий, </w:t>
      </w:r>
      <w:proofErr w:type="gramStart"/>
      <w:r>
        <w:t xml:space="preserve">считается </w:t>
      </w:r>
      <w:r>
        <w:lastRenderedPageBreak/>
        <w:t>нарушением настоящих Правил и является</w:t>
      </w:r>
      <w:proofErr w:type="gramEnd"/>
      <w:r>
        <w:t xml:space="preserve"> основанием для отказа в предоставлении субсидий.</w:t>
      </w:r>
    </w:p>
    <w:p w:rsidR="001114AB" w:rsidRDefault="00A04225">
      <w:pPr>
        <w:pStyle w:val="ConsPlusNormal"/>
        <w:spacing w:before="240"/>
        <w:ind w:firstLine="540"/>
        <w:jc w:val="both"/>
      </w:pPr>
      <w:r>
        <w:t>12. Субсидии перечисляются на единые счета местных бюджетов,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 на лицевой счет соответствующего администратора доходов, уполномоченного на использование субсидий.</w:t>
      </w:r>
    </w:p>
    <w:p w:rsidR="001114AB" w:rsidRDefault="00A04225">
      <w:pPr>
        <w:pStyle w:val="ConsPlusNormal"/>
        <w:spacing w:before="240"/>
        <w:ind w:firstLine="540"/>
        <w:jc w:val="both"/>
      </w:pPr>
      <w:r>
        <w:t>13. Перечисление субсидий в местный бюджет осуществляется на основании заявки на финансирование субсидий органа местного самоуправления муниципального образования, представляемой в Министерство по форме и в срок, установленные Соглашением.</w:t>
      </w:r>
    </w:p>
    <w:p w:rsidR="001114AB" w:rsidRDefault="00A04225">
      <w:pPr>
        <w:pStyle w:val="ConsPlusNormal"/>
        <w:spacing w:before="240"/>
        <w:ind w:firstLine="540"/>
        <w:jc w:val="both"/>
      </w:pPr>
      <w:r>
        <w:t>За достоверность данных, указанных в заявке на финансирование, несет ответственность глава администрации муниципального образования, получающего субсидии, или лицо, исполняющее его обязанности.</w:t>
      </w:r>
    </w:p>
    <w:p w:rsidR="001114AB" w:rsidRDefault="00A04225">
      <w:pPr>
        <w:pStyle w:val="ConsPlusNormal"/>
        <w:spacing w:before="240"/>
        <w:ind w:firstLine="540"/>
        <w:jc w:val="both"/>
      </w:pPr>
      <w:r>
        <w:t xml:space="preserve">14. Показателем результативности использования субсидий является отсутствие просроченной задолженности </w:t>
      </w:r>
      <w:proofErr w:type="gramStart"/>
      <w:r>
        <w:t>на оплату взносов на капитальный ремонт общего имущества в многоквартирных домах за муниципальный жилой фонд по состоянию</w:t>
      </w:r>
      <w:proofErr w:type="gramEnd"/>
      <w:r>
        <w:t xml:space="preserve"> на 31 декабря текущего года.</w:t>
      </w:r>
    </w:p>
    <w:p w:rsidR="001114AB" w:rsidRDefault="00A04225">
      <w:pPr>
        <w:pStyle w:val="ConsPlusNormal"/>
        <w:spacing w:before="240"/>
        <w:ind w:firstLine="540"/>
        <w:jc w:val="both"/>
      </w:pPr>
      <w:r>
        <w:t xml:space="preserve">15. </w:t>
      </w:r>
      <w:proofErr w:type="gramStart"/>
      <w:r>
        <w:t>Министерство осуществляет оценку результативности использования субсидий на основании сравнения объема исполнения муниципальным образованием в отчетном финансовом году обязательств на оплату взносов на капитальный ремонт за муниципальный жилой фонд с объемом начисленных и оплаченных счетов на оплату взносов на капитальный ремонт владельцем счета, на котором формируется фонд капитального ремонта.</w:t>
      </w:r>
      <w:proofErr w:type="gramEnd"/>
    </w:p>
    <w:p w:rsidR="001114AB" w:rsidRDefault="00A04225">
      <w:pPr>
        <w:pStyle w:val="ConsPlusNormal"/>
        <w:spacing w:before="240"/>
        <w:ind w:firstLine="540"/>
        <w:jc w:val="both"/>
      </w:pPr>
      <w:r>
        <w:t>16. Не использованные на 1 января текущего финансового года средства субсидий подлежат возврату в доход областного бюджета.</w:t>
      </w:r>
    </w:p>
    <w:p w:rsidR="001114AB" w:rsidRDefault="00A04225">
      <w:pPr>
        <w:pStyle w:val="ConsPlusNormal"/>
        <w:spacing w:before="240"/>
        <w:ind w:firstLine="540"/>
        <w:jc w:val="both"/>
      </w:pPr>
      <w:proofErr w:type="gramStart"/>
      <w:r>
        <w:t>В соответствии с решением Министерства о наличии потребности в средствах субсидий, не использованных в отчетном финансовом году, согласованным с Министерством финансов Мурманской области, средства в объеме, не превышающем остатка субсидий, могут быть возвращены в текущем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субсидий.</w:t>
      </w:r>
      <w:proofErr w:type="gramEnd"/>
    </w:p>
    <w:p w:rsidR="001114AB" w:rsidRDefault="00A04225">
      <w:pPr>
        <w:pStyle w:val="ConsPlusNormal"/>
        <w:spacing w:before="240"/>
        <w:ind w:firstLine="540"/>
        <w:jc w:val="both"/>
      </w:pPr>
      <w:r>
        <w:t>В случае если неиспользованный остаток средств субсидий не перечислен в доход областного бюджета, указанные средства подлежат взысканию в доход областного бюджета в порядке, устанавливаемом Министерством финансов Мурманской области.</w:t>
      </w:r>
    </w:p>
    <w:p w:rsidR="001114AB" w:rsidRDefault="00A04225">
      <w:pPr>
        <w:pStyle w:val="ConsPlusNormal"/>
        <w:spacing w:before="240"/>
        <w:ind w:firstLine="540"/>
        <w:jc w:val="both"/>
      </w:pPr>
      <w:r>
        <w:t xml:space="preserve">17. </w:t>
      </w:r>
      <w:proofErr w:type="gramStart"/>
      <w:r>
        <w:t>В случае если в отчетном финансовом году муниципальным образованием допущены нарушения обязательств, предусмотренных Соглашением в соответствии с подпунктом 5 пункта 7 Правил N 445-ПП, объем средств, подлежащий возврату в областной бюджет в срок до 1 июня года, следующего за годом предоставления субсидий, определяется в соответствии с пунктом 12 Правил N 445-ПП.</w:t>
      </w:r>
      <w:proofErr w:type="gramEnd"/>
    </w:p>
    <w:p w:rsidR="001114AB" w:rsidRDefault="00A04225">
      <w:pPr>
        <w:pStyle w:val="ConsPlusNormal"/>
        <w:spacing w:before="240"/>
        <w:ind w:firstLine="540"/>
        <w:jc w:val="both"/>
      </w:pPr>
      <w:r>
        <w:t>Основанием для освобождения муниципальных образований от применения мер ответственности, предусмотренных пунктом 12 Правил N 445-ПП, является документально подтвержденное наступление следующих обстоятельств непреодолимой силы, препятствующих исполнению соответствующих обязательств:</w:t>
      </w:r>
    </w:p>
    <w:p w:rsidR="001114AB" w:rsidRDefault="00A04225">
      <w:pPr>
        <w:pStyle w:val="ConsPlusNormal"/>
        <w:spacing w:before="240"/>
        <w:ind w:firstLine="540"/>
        <w:jc w:val="both"/>
      </w:pPr>
      <w:r>
        <w:t xml:space="preserve">1) установление регионального (межмуниципального) и (или) местного уровня реагирования </w:t>
      </w:r>
      <w:r>
        <w:lastRenderedPageBreak/>
        <w:t>на чрезвычайную ситуацию, введение ограничительных мероприятий, направленных на обеспечение санитарно-эпидемиологического благополучия населения, подтвержденное правовым актом органа государственной власти Мурманской области и (или) органа местного самоуправления;</w:t>
      </w:r>
    </w:p>
    <w:p w:rsidR="001114AB" w:rsidRDefault="00A04225">
      <w:pPr>
        <w:pStyle w:val="ConsPlusNormal"/>
        <w:spacing w:before="240"/>
        <w:ind w:firstLine="540"/>
        <w:jc w:val="both"/>
      </w:pPr>
      <w:r>
        <w:t>2) установление карантина и (или) иных ограничений, направленных на предотвращение распространения и ликвидацию очагов заразных и иных болезней животных, подтвержденное правовым актом органа государственной власти Мурманской области;</w:t>
      </w:r>
    </w:p>
    <w:p w:rsidR="001114AB" w:rsidRDefault="00A04225">
      <w:pPr>
        <w:pStyle w:val="ConsPlusNormal"/>
        <w:spacing w:before="240"/>
        <w:ind w:firstLine="540"/>
        <w:jc w:val="both"/>
      </w:pPr>
      <w:r>
        <w:t>3) аномальные погодные условия, подтвержденные справкой территориального органа федерального органа исполнительной власти, осуществляющего функции по оказанию государственных услуг в области гидрометеорологии и смежных с ней областях;</w:t>
      </w:r>
    </w:p>
    <w:p w:rsidR="001114AB" w:rsidRDefault="00A04225">
      <w:pPr>
        <w:pStyle w:val="ConsPlusNormal"/>
        <w:spacing w:before="240"/>
        <w:ind w:firstLine="540"/>
        <w:jc w:val="both"/>
      </w:pPr>
      <w:r>
        <w:t>4) наличие вступившего в законную силу в году предоставления субсидий решения арбитражного суда о признании несостоятельной (банкротом) организации, деятельность которой оказывала влияние на исполнение обязательств, предусмотренных Соглашением в соответствии с подпунктом 6 пункта 7 Правил N 445-ПП.</w:t>
      </w:r>
    </w:p>
    <w:p w:rsidR="001114AB" w:rsidRDefault="00A04225">
      <w:pPr>
        <w:pStyle w:val="ConsPlusNormal"/>
        <w:spacing w:before="240"/>
        <w:ind w:firstLine="540"/>
        <w:jc w:val="both"/>
      </w:pPr>
      <w:proofErr w:type="gramStart"/>
      <w:r>
        <w:t>В случае отсутствия оснований для освобождения муниципальных образований от применения мер ответственности, предусмотренных пунктом 12 Правил N 445-ПП, Министерство не позднее 30-го рабочего дня после первой даты представления отчетности о достижении значений результатов использования субсидий в соответствии с Соглашением в году, следующем за годом предоставления субсидий, направляет главе администрации муниципального образования требование по возврату из местного бюджета в областной бюджет</w:t>
      </w:r>
      <w:proofErr w:type="gramEnd"/>
      <w:r>
        <w:t xml:space="preserve"> объема средств, рассчитанного в соответствии с пунктом 12 Правил N 445-ПП, с указанием сумм, подлежащих возврату, средств и сроков их возврата.</w:t>
      </w:r>
    </w:p>
    <w:p w:rsidR="001114AB" w:rsidRDefault="00A04225">
      <w:pPr>
        <w:pStyle w:val="ConsPlusNormal"/>
        <w:spacing w:before="240"/>
        <w:ind w:firstLine="540"/>
        <w:jc w:val="both"/>
      </w:pPr>
      <w:r>
        <w:t xml:space="preserve">18. </w:t>
      </w:r>
      <w:proofErr w:type="gramStart"/>
      <w:r>
        <w:t>В случае если муниципальным образованием по состоянию на 31 декабря года предоставления субсидий допущены нарушения обязательств, предусмотренных Соглашением в соответствии с подпунктом 4 пункта 7 Правил N 445-ПП, объем средств, подлежащий возврату из местного бюджета в областной бюджет в срок до 1 июня года, следующего за годом предоставления субсидий, определяется в соответствии с пунктом 16 Правил N 445-ПП.</w:t>
      </w:r>
      <w:proofErr w:type="gramEnd"/>
    </w:p>
    <w:p w:rsidR="001114AB" w:rsidRDefault="00A04225">
      <w:pPr>
        <w:pStyle w:val="ConsPlusNormal"/>
        <w:spacing w:before="240"/>
        <w:ind w:firstLine="540"/>
        <w:jc w:val="both"/>
      </w:pPr>
      <w:r>
        <w:t xml:space="preserve">19. Средства субсидий </w:t>
      </w:r>
      <w:proofErr w:type="gramStart"/>
      <w:r>
        <w:t>носят целевой характер и не могут</w:t>
      </w:r>
      <w:proofErr w:type="gramEnd"/>
      <w:r>
        <w:t xml:space="preserve"> быть использованы на другие цели.</w:t>
      </w:r>
    </w:p>
    <w:p w:rsidR="001114AB" w:rsidRDefault="00A04225">
      <w:pPr>
        <w:pStyle w:val="ConsPlusNormal"/>
        <w:spacing w:before="240"/>
        <w:ind w:firstLine="540"/>
        <w:jc w:val="both"/>
      </w:pPr>
      <w:r>
        <w:t>Муниципальное образование несет ответственность за целевое и эффективное использование субсидий, за нарушение условий, установленных настоящими Правилами, за достоверность сведений, предоставляемых в Министерство, подтверждающих целевое использование субсидий.</w:t>
      </w:r>
    </w:p>
    <w:p w:rsidR="001114AB" w:rsidRDefault="00A04225">
      <w:pPr>
        <w:pStyle w:val="ConsPlusNormal"/>
        <w:spacing w:before="240"/>
        <w:ind w:firstLine="540"/>
        <w:jc w:val="both"/>
      </w:pPr>
      <w:r>
        <w:t>20. В случае нецелевого использования субсидий применяются бюджетные меры принуждения, предусмотренные бюджетным законодательством Российской Федерации.</w:t>
      </w:r>
    </w:p>
    <w:p w:rsidR="001114AB" w:rsidRDefault="00A04225">
      <w:pPr>
        <w:pStyle w:val="ConsPlusNormal"/>
        <w:spacing w:before="240"/>
        <w:ind w:firstLine="540"/>
        <w:jc w:val="both"/>
      </w:pPr>
      <w:r>
        <w:t xml:space="preserve">21. </w:t>
      </w:r>
      <w:proofErr w:type="gramStart"/>
      <w:r>
        <w:t>Контроль за</w:t>
      </w:r>
      <w:proofErr w:type="gramEnd"/>
      <w:r>
        <w:t xml:space="preserve"> соблюдением получателями субсидий условий, целей и порядка, установленных при их предоставлении, осуществляется Министерством и органами государственного финансового контроля Мурманской области.</w:t>
      </w:r>
    </w:p>
    <w:p w:rsidR="001114AB" w:rsidRDefault="001114AB">
      <w:pPr>
        <w:pStyle w:val="ConsPlusNormal"/>
        <w:jc w:val="both"/>
      </w:pPr>
    </w:p>
    <w:p w:rsidR="001114AB" w:rsidRDefault="001114AB">
      <w:pPr>
        <w:pStyle w:val="ConsPlusNormal"/>
        <w:jc w:val="both"/>
      </w:pPr>
    </w:p>
    <w:p w:rsidR="001114AB" w:rsidRDefault="001114AB">
      <w:pPr>
        <w:pStyle w:val="ConsPlusNormal"/>
        <w:jc w:val="both"/>
      </w:pPr>
    </w:p>
    <w:p w:rsidR="001114AB" w:rsidRDefault="001114AB">
      <w:pPr>
        <w:pStyle w:val="ConsPlusNormal"/>
        <w:jc w:val="both"/>
      </w:pPr>
    </w:p>
    <w:p w:rsidR="001114AB" w:rsidRDefault="001114AB">
      <w:pPr>
        <w:pStyle w:val="ConsPlusNormal"/>
        <w:jc w:val="both"/>
      </w:pPr>
    </w:p>
    <w:p w:rsidR="001114AB" w:rsidRDefault="00A04225">
      <w:pPr>
        <w:pStyle w:val="ConsPlusNormal"/>
        <w:jc w:val="right"/>
        <w:outlineLvl w:val="1"/>
      </w:pPr>
      <w:r>
        <w:t>Приложение N 1</w:t>
      </w:r>
    </w:p>
    <w:p w:rsidR="001114AB" w:rsidRDefault="00A04225">
      <w:pPr>
        <w:pStyle w:val="ConsPlusNormal"/>
        <w:jc w:val="right"/>
      </w:pPr>
      <w:r>
        <w:lastRenderedPageBreak/>
        <w:t>к Правилам</w:t>
      </w:r>
    </w:p>
    <w:p w:rsidR="001114AB" w:rsidRDefault="001114AB">
      <w:pPr>
        <w:pStyle w:val="ConsPlusNormal"/>
        <w:jc w:val="both"/>
      </w:pPr>
    </w:p>
    <w:p w:rsidR="001114AB" w:rsidRDefault="00A04225">
      <w:pPr>
        <w:pStyle w:val="ConsPlusTitle"/>
        <w:jc w:val="center"/>
      </w:pPr>
      <w:bookmarkStart w:id="3" w:name="P69"/>
      <w:bookmarkEnd w:id="3"/>
      <w:r>
        <w:t>МЕТОДИКА</w:t>
      </w:r>
    </w:p>
    <w:p w:rsidR="001114AB" w:rsidRDefault="00A04225">
      <w:pPr>
        <w:pStyle w:val="ConsPlusTitle"/>
        <w:jc w:val="center"/>
      </w:pPr>
      <w:r>
        <w:t>РАСПРЕДЕЛЕНИЯ СУБСИДИЙ МУНИЦИПАЛЬНЫМ ОБРАЗОВАНИЯМ,</w:t>
      </w:r>
    </w:p>
    <w:p w:rsidR="001114AB" w:rsidRDefault="00A04225">
      <w:pPr>
        <w:pStyle w:val="ConsPlusTitle"/>
        <w:jc w:val="center"/>
      </w:pPr>
      <w:proofErr w:type="gramStart"/>
      <w:r>
        <w:t>ПРЕДОСТАВЛЯЕМЫХ В ЦЕЛЯХ СОФИНАНСИРОВАНИЯ РАСХОДНЫХ</w:t>
      </w:r>
      <w:proofErr w:type="gramEnd"/>
    </w:p>
    <w:p w:rsidR="001114AB" w:rsidRDefault="00A04225">
      <w:pPr>
        <w:pStyle w:val="ConsPlusTitle"/>
        <w:jc w:val="center"/>
      </w:pPr>
      <w:r>
        <w:t>ОБЯЗАТЕЛЬСТВ НА ОПЛАТУ ВЗНОСОВ НА КАПИТАЛЬНЫЙ РЕМОНТ ОБЩЕГО</w:t>
      </w:r>
    </w:p>
    <w:p w:rsidR="001114AB" w:rsidRDefault="00A04225">
      <w:pPr>
        <w:pStyle w:val="ConsPlusTitle"/>
        <w:jc w:val="center"/>
      </w:pPr>
      <w:r>
        <w:t xml:space="preserve">ИМУЩЕСТВА В МНОГОКВАРТИРНЫХ ДОМАХ ЗА </w:t>
      </w:r>
      <w:proofErr w:type="gramStart"/>
      <w:r>
        <w:t>МУНИЦИПАЛЬНЫЙ</w:t>
      </w:r>
      <w:proofErr w:type="gramEnd"/>
      <w:r>
        <w:t xml:space="preserve"> ЖИЛОЙ</w:t>
      </w:r>
    </w:p>
    <w:p w:rsidR="001114AB" w:rsidRDefault="00A04225">
      <w:pPr>
        <w:pStyle w:val="ConsPlusTitle"/>
        <w:jc w:val="center"/>
      </w:pPr>
      <w:r>
        <w:t>ФОНД</w:t>
      </w:r>
    </w:p>
    <w:p w:rsidR="001114AB" w:rsidRDefault="001114AB">
      <w:pPr>
        <w:pStyle w:val="ConsPlusNormal"/>
        <w:jc w:val="both"/>
      </w:pPr>
    </w:p>
    <w:p w:rsidR="001114AB" w:rsidRDefault="00A04225">
      <w:pPr>
        <w:pStyle w:val="ConsPlusNormal"/>
        <w:ind w:firstLine="540"/>
        <w:jc w:val="both"/>
      </w:pPr>
      <w:r>
        <w:t xml:space="preserve">1. </w:t>
      </w:r>
      <w:proofErr w:type="gramStart"/>
      <w:r>
        <w:t>Настоящая Методика определяет порядок распределения субсидий между муниципальными образованиями, предоставляемых в целях софинансирования расходных обязательств муниципальных образований на оплату взносов на капитальный ремонт общего имущества в многоквартирных домах за муниципальный жилой фонд (далее - субсидии).</w:t>
      </w:r>
      <w:proofErr w:type="gramEnd"/>
    </w:p>
    <w:p w:rsidR="001114AB" w:rsidRDefault="00A04225">
      <w:pPr>
        <w:pStyle w:val="ConsPlusNormal"/>
        <w:spacing w:before="240"/>
        <w:ind w:firstLine="540"/>
        <w:jc w:val="both"/>
      </w:pPr>
      <w:r>
        <w:t>2. Объем расходного обязательства муниципального образования (</w:t>
      </w:r>
      <w:proofErr w:type="spellStart"/>
      <w:r>
        <w:t>E</w:t>
      </w:r>
      <w:r>
        <w:rPr>
          <w:vertAlign w:val="subscript"/>
        </w:rPr>
        <w:t>i</w:t>
      </w:r>
      <w:proofErr w:type="spellEnd"/>
      <w:r>
        <w:t xml:space="preserve">) определяется на основании реестра муниципального жилого фонда (с указанием площади муниципальных помещений в деревянных домах этажностью 3 и менее этажей, включенных в региональную программу; площади муниципальных помещений в прочих многоквартирных домах, включенных в региональную программу капитального ремонта общего имущества в многоквартирных домах, расположенных на территории Мурманской области, на 2014 - 2043 годы, </w:t>
      </w:r>
      <w:proofErr w:type="gramStart"/>
      <w:r>
        <w:t>утвержденная</w:t>
      </w:r>
      <w:proofErr w:type="gramEnd"/>
      <w:r>
        <w:t xml:space="preserve"> постановлением Правительства Мурманской области от 31.03.2014 N 168-ПП; площади муниципальных жилых и нежилых помещений по состоянию на первое число месяца подачи заявки).</w:t>
      </w:r>
    </w:p>
    <w:p w:rsidR="001114AB" w:rsidRDefault="00A04225">
      <w:pPr>
        <w:pStyle w:val="ConsPlusNormal"/>
        <w:spacing w:before="240"/>
        <w:ind w:firstLine="540"/>
        <w:jc w:val="both"/>
      </w:pPr>
      <w:r>
        <w:t>3. Расчет объема расходного обязательства для распределения субсидий осуществляется по следующей формуле:</w:t>
      </w:r>
    </w:p>
    <w:p w:rsidR="001114AB" w:rsidRDefault="001114AB">
      <w:pPr>
        <w:pStyle w:val="ConsPlusNormal"/>
        <w:jc w:val="both"/>
      </w:pPr>
    </w:p>
    <w:p w:rsidR="001114AB" w:rsidRPr="000E5EDF" w:rsidRDefault="00A04225">
      <w:pPr>
        <w:pStyle w:val="ConsPlusNormal"/>
        <w:ind w:firstLine="540"/>
        <w:jc w:val="both"/>
        <w:rPr>
          <w:lang w:val="en-US"/>
        </w:rPr>
      </w:pPr>
      <w:r w:rsidRPr="000E5EDF">
        <w:rPr>
          <w:lang w:val="en-US"/>
        </w:rPr>
        <w:t>E</w:t>
      </w:r>
      <w:r w:rsidRPr="000E5EDF">
        <w:rPr>
          <w:vertAlign w:val="subscript"/>
          <w:lang w:val="en-US"/>
        </w:rPr>
        <w:t>i</w:t>
      </w:r>
      <w:r w:rsidRPr="000E5EDF">
        <w:rPr>
          <w:lang w:val="en-US"/>
        </w:rPr>
        <w:t xml:space="preserve"> = ((Sid x Rd) + (Sipr x Rpr)) x N, </w:t>
      </w:r>
      <w:r>
        <w:t>где</w:t>
      </w:r>
      <w:r w:rsidRPr="000E5EDF">
        <w:rPr>
          <w:lang w:val="en-US"/>
        </w:rPr>
        <w:t>:</w:t>
      </w:r>
    </w:p>
    <w:p w:rsidR="001114AB" w:rsidRPr="000E5EDF" w:rsidRDefault="001114AB">
      <w:pPr>
        <w:pStyle w:val="ConsPlusNormal"/>
        <w:jc w:val="both"/>
        <w:rPr>
          <w:lang w:val="en-US"/>
        </w:rPr>
      </w:pPr>
    </w:p>
    <w:p w:rsidR="001114AB" w:rsidRDefault="00A04225">
      <w:pPr>
        <w:pStyle w:val="ConsPlusNormal"/>
        <w:ind w:firstLine="540"/>
        <w:jc w:val="both"/>
      </w:pPr>
      <w:proofErr w:type="spellStart"/>
      <w:r>
        <w:t>E</w:t>
      </w:r>
      <w:r>
        <w:rPr>
          <w:vertAlign w:val="subscript"/>
        </w:rPr>
        <w:t>i</w:t>
      </w:r>
      <w:proofErr w:type="spellEnd"/>
      <w:r>
        <w:t xml:space="preserve"> - объем расходного обязательства i-</w:t>
      </w:r>
      <w:proofErr w:type="spellStart"/>
      <w:r>
        <w:t>го</w:t>
      </w:r>
      <w:proofErr w:type="spellEnd"/>
      <w:r>
        <w:t xml:space="preserve"> муниципального образования на оплату взносов на капитальный ремонт общего имущества в многоквартирных домах за муниципальный жилой фонд;</w:t>
      </w:r>
    </w:p>
    <w:p w:rsidR="001114AB" w:rsidRDefault="00A04225">
      <w:pPr>
        <w:pStyle w:val="ConsPlusNormal"/>
        <w:spacing w:before="240"/>
        <w:ind w:firstLine="540"/>
        <w:jc w:val="both"/>
      </w:pPr>
      <w:proofErr w:type="spellStart"/>
      <w:r>
        <w:t>Sid</w:t>
      </w:r>
      <w:proofErr w:type="spellEnd"/>
      <w:r>
        <w:t xml:space="preserve"> - площадь жилых помещений муниципального жилого фонда, находящегося в деревянных многоквартирных домах этажностью 3 и менее этажей, включенных в региональную программу, на основании данных местной администрации i-</w:t>
      </w:r>
      <w:proofErr w:type="spellStart"/>
      <w:r>
        <w:t>го</w:t>
      </w:r>
      <w:proofErr w:type="spellEnd"/>
      <w:r>
        <w:t xml:space="preserve"> муниципального образования по состоянию на первое число месяца подачи заявки;</w:t>
      </w:r>
    </w:p>
    <w:p w:rsidR="001114AB" w:rsidRDefault="00A04225">
      <w:pPr>
        <w:pStyle w:val="ConsPlusNormal"/>
        <w:spacing w:before="240"/>
        <w:ind w:firstLine="540"/>
        <w:jc w:val="both"/>
      </w:pPr>
      <w:proofErr w:type="spellStart"/>
      <w:r>
        <w:t>Sipr</w:t>
      </w:r>
      <w:proofErr w:type="spellEnd"/>
      <w:r>
        <w:t xml:space="preserve"> - площадь жилых помещений муниципального жилого фонда, находящегося в прочих многоквартирных домах, включенных в региональную программу, на основании данных местной администрации i-</w:t>
      </w:r>
      <w:proofErr w:type="spellStart"/>
      <w:r>
        <w:t>го</w:t>
      </w:r>
      <w:proofErr w:type="spellEnd"/>
      <w:r>
        <w:t xml:space="preserve"> муниципального образования по состоянию на первое число месяца подачи заявки;</w:t>
      </w:r>
    </w:p>
    <w:p w:rsidR="001114AB" w:rsidRDefault="00A04225">
      <w:pPr>
        <w:pStyle w:val="ConsPlusNormal"/>
        <w:spacing w:before="240"/>
        <w:ind w:firstLine="540"/>
        <w:jc w:val="both"/>
      </w:pPr>
      <w:proofErr w:type="spellStart"/>
      <w:r>
        <w:t>Rd</w:t>
      </w:r>
      <w:proofErr w:type="spellEnd"/>
      <w:r>
        <w:t xml:space="preserve"> - минимальный размер взноса на капитальный ремонт общего имущества в многоквартирных домах, установленный для деревянных многоквартирных домов этажностью 3 и менее, утвержденный Правительством Мурманской области;</w:t>
      </w:r>
    </w:p>
    <w:p w:rsidR="001114AB" w:rsidRDefault="00A04225">
      <w:pPr>
        <w:pStyle w:val="ConsPlusNormal"/>
        <w:spacing w:before="240"/>
        <w:ind w:firstLine="540"/>
        <w:jc w:val="both"/>
      </w:pPr>
      <w:proofErr w:type="spellStart"/>
      <w:r>
        <w:t>Rpr</w:t>
      </w:r>
      <w:proofErr w:type="spellEnd"/>
      <w:r>
        <w:t xml:space="preserve"> - минимальный размер взноса на капитальный ремонт общего имущества в многоквартирных домах, установленный для прочих многоквартирных домов, утвержденный Правительством Мурманской области;</w:t>
      </w:r>
    </w:p>
    <w:p w:rsidR="001114AB" w:rsidRDefault="00A04225">
      <w:pPr>
        <w:pStyle w:val="ConsPlusNormal"/>
        <w:spacing w:before="240"/>
        <w:ind w:firstLine="540"/>
        <w:jc w:val="both"/>
      </w:pPr>
      <w:r>
        <w:lastRenderedPageBreak/>
        <w:t>N - количество календарных месяцев в текущем году, учитываемых с момента возникновения обязательств муниципального образования на оплату взноса на капитальный ремонт общего имущества в многоквартирных домах за муниципальный жилой фонд.</w:t>
      </w:r>
    </w:p>
    <w:p w:rsidR="001114AB" w:rsidRDefault="00A04225">
      <w:pPr>
        <w:pStyle w:val="ConsPlusNormal"/>
        <w:spacing w:before="240"/>
        <w:ind w:firstLine="540"/>
        <w:jc w:val="both"/>
      </w:pPr>
      <w:r>
        <w:t>4. Размер субсидий муниципальному образованию (</w:t>
      </w:r>
      <w:proofErr w:type="spellStart"/>
      <w:r>
        <w:t>Vi</w:t>
      </w:r>
      <w:proofErr w:type="spellEnd"/>
      <w:r>
        <w:t>) определяется по следующей формуле:</w:t>
      </w:r>
    </w:p>
    <w:p w:rsidR="001114AB" w:rsidRDefault="001114AB">
      <w:pPr>
        <w:pStyle w:val="ConsPlusNormal"/>
        <w:jc w:val="both"/>
      </w:pPr>
    </w:p>
    <w:p w:rsidR="001114AB" w:rsidRDefault="00A04225">
      <w:pPr>
        <w:pStyle w:val="ConsPlusNormal"/>
        <w:ind w:firstLine="540"/>
        <w:jc w:val="both"/>
      </w:pPr>
      <w:r>
        <w:rPr>
          <w:noProof/>
          <w:lang w:eastAsia="ru-RU" w:bidi="ar-SA"/>
        </w:rPr>
        <w:drawing>
          <wp:inline distT="0" distB="0" distL="0" distR="0">
            <wp:extent cx="1874520" cy="537210"/>
            <wp:effectExtent l="0" t="0" r="0" b="0"/>
            <wp:docPr id="1" name="Консультант Плю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Консультант Плюс"/>
                    <pic:cNvPicPr>
                      <a:picLocks noChangeAspect="1" noChangeArrowheads="1"/>
                    </pic:cNvPicPr>
                  </pic:nvPicPr>
                  <pic:blipFill>
                    <a:blip r:embed="rId6"/>
                    <a:stretch>
                      <a:fillRect/>
                    </a:stretch>
                  </pic:blipFill>
                  <pic:spPr bwMode="auto">
                    <a:xfrm>
                      <a:off x="0" y="0"/>
                      <a:ext cx="1874520" cy="537210"/>
                    </a:xfrm>
                    <a:prstGeom prst="rect">
                      <a:avLst/>
                    </a:prstGeom>
                  </pic:spPr>
                </pic:pic>
              </a:graphicData>
            </a:graphic>
          </wp:inline>
        </w:drawing>
      </w:r>
    </w:p>
    <w:p w:rsidR="001114AB" w:rsidRDefault="001114AB">
      <w:pPr>
        <w:pStyle w:val="ConsPlusNormal"/>
        <w:jc w:val="both"/>
      </w:pPr>
    </w:p>
    <w:p w:rsidR="001114AB" w:rsidRDefault="00A04225">
      <w:pPr>
        <w:pStyle w:val="ConsPlusNormal"/>
        <w:ind w:firstLine="540"/>
        <w:jc w:val="both"/>
      </w:pPr>
      <w:proofErr w:type="spellStart"/>
      <w:r>
        <w:t>Vi</w:t>
      </w:r>
      <w:proofErr w:type="spellEnd"/>
      <w:r>
        <w:t xml:space="preserve"> - размер средств субсидий i-</w:t>
      </w:r>
      <w:proofErr w:type="spellStart"/>
      <w:r>
        <w:t>му</w:t>
      </w:r>
      <w:proofErr w:type="spellEnd"/>
      <w:r>
        <w:t xml:space="preserve"> муниципальному образованию;</w:t>
      </w:r>
    </w:p>
    <w:p w:rsidR="001114AB" w:rsidRDefault="00A04225">
      <w:pPr>
        <w:pStyle w:val="ConsPlusNormal"/>
        <w:spacing w:before="240"/>
        <w:ind w:firstLine="540"/>
        <w:jc w:val="both"/>
      </w:pPr>
      <w:proofErr w:type="spellStart"/>
      <w:r>
        <w:t>E</w:t>
      </w:r>
      <w:r>
        <w:rPr>
          <w:vertAlign w:val="subscript"/>
        </w:rPr>
        <w:t>i</w:t>
      </w:r>
      <w:proofErr w:type="spellEnd"/>
      <w:r>
        <w:t xml:space="preserve"> - объем расходного обязательства муниципального образования в соответствии с предоставленной заявкой муниципального образования на получение субсидий, рассчитанный с учетом предельного уровня софинансирования расходного обязательства муниципального образования из областного бюджета, утвержденного постановлением Правительства Мурманской области на очередной финансовый год;</w:t>
      </w:r>
    </w:p>
    <w:p w:rsidR="001114AB" w:rsidRPr="005952B2" w:rsidRDefault="00A04225">
      <w:pPr>
        <w:pStyle w:val="ConsPlusNormal"/>
        <w:spacing w:before="240"/>
        <w:ind w:firstLine="540"/>
        <w:jc w:val="both"/>
      </w:pPr>
      <w:proofErr w:type="spellStart"/>
      <w:r>
        <w:t>Krboi</w:t>
      </w:r>
      <w:proofErr w:type="spellEnd"/>
      <w:r>
        <w:t xml:space="preserve"> - коэффициент уровня расчетной бюджетной </w:t>
      </w:r>
      <w:r w:rsidRPr="005952B2">
        <w:t>обеспеченности i-</w:t>
      </w:r>
      <w:proofErr w:type="spellStart"/>
      <w:r w:rsidRPr="005952B2">
        <w:t>го</w:t>
      </w:r>
      <w:proofErr w:type="spellEnd"/>
      <w:r w:rsidRPr="005952B2">
        <w:t xml:space="preserve"> муниципального округа (городского округа) на очередной финансовый год.</w:t>
      </w:r>
    </w:p>
    <w:p w:rsidR="001114AB" w:rsidRPr="005952B2" w:rsidRDefault="00A04225">
      <w:pPr>
        <w:pStyle w:val="ConsPlusNormal"/>
        <w:spacing w:before="240"/>
        <w:ind w:firstLine="540"/>
        <w:jc w:val="both"/>
      </w:pPr>
      <w:r w:rsidRPr="005952B2">
        <w:t>Для поселений, входящих в состав муниципального района, применяется уровень бюджетной обеспеченности соответствующего муниципального округа (городского округа).</w:t>
      </w:r>
    </w:p>
    <w:p w:rsidR="001114AB" w:rsidRPr="005952B2" w:rsidRDefault="00A04225">
      <w:pPr>
        <w:pStyle w:val="ConsPlusNormal"/>
        <w:spacing w:before="240"/>
        <w:ind w:firstLine="540"/>
        <w:jc w:val="both"/>
      </w:pPr>
      <w:r w:rsidRPr="005952B2">
        <w:t>Коэффициент уровня расчетной бюджетной обеспеченности муниципального округа (городского округа) устанавливается в размере:</w:t>
      </w:r>
    </w:p>
    <w:p w:rsidR="001114AB" w:rsidRPr="005952B2" w:rsidRDefault="001114AB">
      <w:pPr>
        <w:pStyle w:val="ConsPlusNormal"/>
        <w:jc w:val="both"/>
      </w:pPr>
    </w:p>
    <w:tbl>
      <w:tblPr>
        <w:tblW w:w="9071" w:type="dxa"/>
        <w:tblInd w:w="67" w:type="dxa"/>
        <w:tblLayout w:type="fixed"/>
        <w:tblCellMar>
          <w:top w:w="102" w:type="dxa"/>
          <w:left w:w="62" w:type="dxa"/>
          <w:bottom w:w="102" w:type="dxa"/>
          <w:right w:w="62" w:type="dxa"/>
        </w:tblCellMar>
        <w:tblLook w:val="0000" w:firstRow="0" w:lastRow="0" w:firstColumn="0" w:lastColumn="0" w:noHBand="0" w:noVBand="0"/>
      </w:tblPr>
      <w:tblGrid>
        <w:gridCol w:w="8107"/>
        <w:gridCol w:w="964"/>
      </w:tblGrid>
      <w:tr w:rsidR="001114AB" w:rsidRPr="005952B2">
        <w:tc>
          <w:tcPr>
            <w:tcW w:w="8106" w:type="dxa"/>
            <w:tcBorders>
              <w:top w:val="single" w:sz="4" w:space="0" w:color="000000"/>
              <w:left w:val="single" w:sz="4" w:space="0" w:color="000000"/>
              <w:bottom w:val="single" w:sz="4" w:space="0" w:color="000000"/>
              <w:right w:val="single" w:sz="4" w:space="0" w:color="000000"/>
            </w:tcBorders>
            <w:vAlign w:val="center"/>
          </w:tcPr>
          <w:p w:rsidR="001114AB" w:rsidRPr="005952B2" w:rsidRDefault="00A04225" w:rsidP="005952B2">
            <w:pPr>
              <w:pStyle w:val="ConsPlusNormal"/>
              <w:jc w:val="center"/>
            </w:pPr>
            <w:r w:rsidRPr="005952B2">
              <w:t>Уровень расчетной бюджетной обеспеченности i- муниципального округа (городского округа) на очередной финансовый год, определенный в соответствии с Законом Мурманской области от 10.12.2007 N 916-01-ЗМО "О межбюджетных отношениях в Мурманской области"</w:t>
            </w:r>
          </w:p>
        </w:tc>
        <w:tc>
          <w:tcPr>
            <w:tcW w:w="964" w:type="dxa"/>
            <w:tcBorders>
              <w:top w:val="single" w:sz="4" w:space="0" w:color="000000"/>
              <w:left w:val="single" w:sz="4" w:space="0" w:color="000000"/>
              <w:bottom w:val="single" w:sz="4" w:space="0" w:color="000000"/>
              <w:right w:val="single" w:sz="4" w:space="0" w:color="000000"/>
            </w:tcBorders>
            <w:vAlign w:val="center"/>
          </w:tcPr>
          <w:p w:rsidR="001114AB" w:rsidRPr="005952B2" w:rsidRDefault="00A04225">
            <w:pPr>
              <w:pStyle w:val="ConsPlusNormal"/>
              <w:jc w:val="center"/>
            </w:pPr>
            <w:proofErr w:type="spellStart"/>
            <w:r w:rsidRPr="005952B2">
              <w:t>Krboi</w:t>
            </w:r>
            <w:proofErr w:type="spellEnd"/>
          </w:p>
        </w:tc>
      </w:tr>
      <w:tr w:rsidR="001114AB">
        <w:tc>
          <w:tcPr>
            <w:tcW w:w="8106" w:type="dxa"/>
            <w:tcBorders>
              <w:top w:val="single" w:sz="4" w:space="0" w:color="000000"/>
              <w:left w:val="single" w:sz="4" w:space="0" w:color="000000"/>
              <w:bottom w:val="single" w:sz="4" w:space="0" w:color="000000"/>
              <w:right w:val="single" w:sz="4" w:space="0" w:color="000000"/>
            </w:tcBorders>
            <w:vAlign w:val="center"/>
          </w:tcPr>
          <w:p w:rsidR="001114AB" w:rsidRPr="005952B2" w:rsidRDefault="00A04225">
            <w:pPr>
              <w:pStyle w:val="ConsPlusNormal"/>
              <w:jc w:val="center"/>
            </w:pPr>
            <w:r w:rsidRPr="005952B2">
              <w:t>&lt;= 1,315</w:t>
            </w:r>
          </w:p>
        </w:tc>
        <w:tc>
          <w:tcPr>
            <w:tcW w:w="964" w:type="dxa"/>
            <w:tcBorders>
              <w:top w:val="single" w:sz="4" w:space="0" w:color="000000"/>
              <w:left w:val="single" w:sz="4" w:space="0" w:color="000000"/>
              <w:bottom w:val="single" w:sz="4" w:space="0" w:color="000000"/>
              <w:right w:val="single" w:sz="4" w:space="0" w:color="000000"/>
            </w:tcBorders>
            <w:vAlign w:val="center"/>
          </w:tcPr>
          <w:p w:rsidR="001114AB" w:rsidRDefault="00A04225">
            <w:pPr>
              <w:pStyle w:val="ConsPlusNormal"/>
              <w:jc w:val="center"/>
            </w:pPr>
            <w:r w:rsidRPr="005952B2">
              <w:t>1</w:t>
            </w:r>
          </w:p>
        </w:tc>
      </w:tr>
      <w:tr w:rsidR="001114AB">
        <w:tc>
          <w:tcPr>
            <w:tcW w:w="8106" w:type="dxa"/>
            <w:tcBorders>
              <w:top w:val="single" w:sz="4" w:space="0" w:color="000000"/>
              <w:left w:val="single" w:sz="4" w:space="0" w:color="000000"/>
              <w:bottom w:val="single" w:sz="4" w:space="0" w:color="000000"/>
              <w:right w:val="single" w:sz="4" w:space="0" w:color="000000"/>
            </w:tcBorders>
            <w:vAlign w:val="center"/>
          </w:tcPr>
          <w:p w:rsidR="001114AB" w:rsidRDefault="00A04225">
            <w:pPr>
              <w:pStyle w:val="ConsPlusNormal"/>
              <w:jc w:val="center"/>
            </w:pPr>
            <w:r>
              <w:t>1,316 &lt; 1,325</w:t>
            </w:r>
          </w:p>
        </w:tc>
        <w:tc>
          <w:tcPr>
            <w:tcW w:w="964" w:type="dxa"/>
            <w:tcBorders>
              <w:top w:val="single" w:sz="4" w:space="0" w:color="000000"/>
              <w:left w:val="single" w:sz="4" w:space="0" w:color="000000"/>
              <w:bottom w:val="single" w:sz="4" w:space="0" w:color="000000"/>
              <w:right w:val="single" w:sz="4" w:space="0" w:color="000000"/>
            </w:tcBorders>
            <w:vAlign w:val="center"/>
          </w:tcPr>
          <w:p w:rsidR="001114AB" w:rsidRDefault="00A04225">
            <w:pPr>
              <w:pStyle w:val="ConsPlusNormal"/>
              <w:jc w:val="center"/>
            </w:pPr>
            <w:r>
              <w:t>0,95</w:t>
            </w:r>
          </w:p>
        </w:tc>
      </w:tr>
      <w:tr w:rsidR="001114AB">
        <w:tc>
          <w:tcPr>
            <w:tcW w:w="8106" w:type="dxa"/>
            <w:tcBorders>
              <w:top w:val="single" w:sz="4" w:space="0" w:color="000000"/>
              <w:left w:val="single" w:sz="4" w:space="0" w:color="000000"/>
              <w:bottom w:val="single" w:sz="4" w:space="0" w:color="000000"/>
              <w:right w:val="single" w:sz="4" w:space="0" w:color="000000"/>
            </w:tcBorders>
            <w:vAlign w:val="center"/>
          </w:tcPr>
          <w:p w:rsidR="001114AB" w:rsidRDefault="00A04225">
            <w:pPr>
              <w:pStyle w:val="ConsPlusNormal"/>
              <w:jc w:val="center"/>
            </w:pPr>
            <w:r>
              <w:t>&gt;= 1,326</w:t>
            </w:r>
          </w:p>
        </w:tc>
        <w:tc>
          <w:tcPr>
            <w:tcW w:w="964" w:type="dxa"/>
            <w:tcBorders>
              <w:top w:val="single" w:sz="4" w:space="0" w:color="000000"/>
              <w:left w:val="single" w:sz="4" w:space="0" w:color="000000"/>
              <w:bottom w:val="single" w:sz="4" w:space="0" w:color="000000"/>
              <w:right w:val="single" w:sz="4" w:space="0" w:color="000000"/>
            </w:tcBorders>
            <w:vAlign w:val="center"/>
          </w:tcPr>
          <w:p w:rsidR="001114AB" w:rsidRDefault="00A04225">
            <w:pPr>
              <w:pStyle w:val="ConsPlusNormal"/>
              <w:jc w:val="center"/>
            </w:pPr>
            <w:r>
              <w:t>0</w:t>
            </w:r>
          </w:p>
        </w:tc>
      </w:tr>
    </w:tbl>
    <w:p w:rsidR="001114AB" w:rsidRDefault="001114AB">
      <w:pPr>
        <w:pStyle w:val="ConsPlusNormal"/>
        <w:jc w:val="both"/>
      </w:pPr>
    </w:p>
    <w:p w:rsidR="001114AB" w:rsidRDefault="00A04225">
      <w:pPr>
        <w:pStyle w:val="ConsPlusNormal"/>
        <w:ind w:firstLine="540"/>
        <w:jc w:val="both"/>
      </w:pPr>
      <w:r>
        <w:rPr>
          <w:noProof/>
          <w:lang w:eastAsia="ru-RU" w:bidi="ar-SA"/>
        </w:rPr>
        <w:drawing>
          <wp:inline distT="0" distB="0" distL="0" distR="0">
            <wp:extent cx="320040" cy="308610"/>
            <wp:effectExtent l="0" t="0" r="0" b="0"/>
            <wp:docPr id="2" name="Изображение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2"/>
                    <pic:cNvPicPr>
                      <a:picLocks noChangeAspect="1" noChangeArrowheads="1"/>
                    </pic:cNvPicPr>
                  </pic:nvPicPr>
                  <pic:blipFill>
                    <a:blip r:embed="rId7"/>
                    <a:stretch>
                      <a:fillRect/>
                    </a:stretch>
                  </pic:blipFill>
                  <pic:spPr bwMode="auto">
                    <a:xfrm>
                      <a:off x="0" y="0"/>
                      <a:ext cx="320040" cy="308610"/>
                    </a:xfrm>
                    <a:prstGeom prst="rect">
                      <a:avLst/>
                    </a:prstGeom>
                  </pic:spPr>
                </pic:pic>
              </a:graphicData>
            </a:graphic>
          </wp:inline>
        </w:drawing>
      </w:r>
      <w:r>
        <w:t xml:space="preserve"> - общий объем расходных обязательств муниципальных образований Мурманской области по оплате взносов на капитальный ремонт общего имущества в многоквартирных домах за муниципальный жилой фонд, для которых </w:t>
      </w:r>
      <w:proofErr w:type="spellStart"/>
      <w:r>
        <w:t>Krboi</w:t>
      </w:r>
      <w:proofErr w:type="spellEnd"/>
      <w:r>
        <w:t xml:space="preserve"> не равен 0;</w:t>
      </w:r>
    </w:p>
    <w:p w:rsidR="001114AB" w:rsidRDefault="00A04225">
      <w:pPr>
        <w:pStyle w:val="ConsPlusNormal"/>
        <w:spacing w:before="240"/>
        <w:ind w:firstLine="540"/>
        <w:jc w:val="both"/>
      </w:pPr>
      <w:r>
        <w:t>C - объем субсидий из областного бюджета местным бюджетам в целях софинансирования расходных обязательств, возникающих при выполнении полномочий органов местного самоуправления по содержанию муниципального жилого фонда.</w:t>
      </w:r>
    </w:p>
    <w:p w:rsidR="001114AB" w:rsidRDefault="001114AB">
      <w:pPr>
        <w:pStyle w:val="ConsPlusNormal"/>
        <w:jc w:val="both"/>
      </w:pPr>
    </w:p>
    <w:p w:rsidR="001114AB" w:rsidRDefault="001114AB">
      <w:pPr>
        <w:pStyle w:val="ConsPlusNormal"/>
        <w:jc w:val="both"/>
      </w:pPr>
    </w:p>
    <w:p w:rsidR="001114AB" w:rsidRDefault="001114AB">
      <w:pPr>
        <w:pStyle w:val="ConsPlusNormal"/>
        <w:jc w:val="both"/>
      </w:pPr>
    </w:p>
    <w:p w:rsidR="001114AB" w:rsidRDefault="001114AB">
      <w:pPr>
        <w:pStyle w:val="ConsPlusNormal"/>
        <w:jc w:val="both"/>
      </w:pPr>
    </w:p>
    <w:p w:rsidR="001114AB" w:rsidRDefault="001114AB">
      <w:pPr>
        <w:pStyle w:val="ConsPlusNormal"/>
        <w:jc w:val="both"/>
      </w:pPr>
    </w:p>
    <w:p w:rsidR="001114AB" w:rsidRDefault="00A04225">
      <w:pPr>
        <w:pStyle w:val="ConsPlusNormal"/>
        <w:jc w:val="right"/>
        <w:outlineLvl w:val="1"/>
      </w:pPr>
      <w:bookmarkStart w:id="4" w:name="P114"/>
      <w:bookmarkEnd w:id="4"/>
      <w:r>
        <w:lastRenderedPageBreak/>
        <w:t>Приложение N 2</w:t>
      </w:r>
    </w:p>
    <w:p w:rsidR="001114AB" w:rsidRDefault="00A04225">
      <w:pPr>
        <w:pStyle w:val="ConsPlusNormal"/>
        <w:jc w:val="right"/>
      </w:pPr>
      <w:r>
        <w:t>к Правилам</w:t>
      </w:r>
    </w:p>
    <w:p w:rsidR="001114AB" w:rsidRDefault="001114AB">
      <w:pPr>
        <w:pStyle w:val="ConsPlusNormal"/>
        <w:jc w:val="both"/>
      </w:pPr>
    </w:p>
    <w:tbl>
      <w:tblPr>
        <w:tblW w:w="3685" w:type="dxa"/>
        <w:tblInd w:w="62" w:type="dxa"/>
        <w:tblLayout w:type="fixed"/>
        <w:tblCellMar>
          <w:top w:w="102" w:type="dxa"/>
          <w:left w:w="62" w:type="dxa"/>
          <w:bottom w:w="102" w:type="dxa"/>
          <w:right w:w="62" w:type="dxa"/>
        </w:tblCellMar>
        <w:tblLook w:val="0000" w:firstRow="0" w:lastRow="0" w:firstColumn="0" w:lastColumn="0" w:noHBand="0" w:noVBand="0"/>
      </w:tblPr>
      <w:tblGrid>
        <w:gridCol w:w="3685"/>
      </w:tblGrid>
      <w:tr w:rsidR="001114AB">
        <w:tc>
          <w:tcPr>
            <w:tcW w:w="3685" w:type="dxa"/>
          </w:tcPr>
          <w:p w:rsidR="001114AB" w:rsidRDefault="00A04225">
            <w:pPr>
              <w:pStyle w:val="ConsPlusNormal"/>
              <w:jc w:val="center"/>
            </w:pPr>
            <w:r>
              <w:t>Угловой штамп</w:t>
            </w:r>
          </w:p>
          <w:p w:rsidR="001114AB" w:rsidRDefault="00A04225">
            <w:pPr>
              <w:pStyle w:val="ConsPlusNormal"/>
              <w:jc w:val="center"/>
            </w:pPr>
            <w:r>
              <w:t>муниципального образования</w:t>
            </w:r>
          </w:p>
        </w:tc>
      </w:tr>
    </w:tbl>
    <w:p w:rsidR="001114AB" w:rsidRDefault="001114AB">
      <w:pPr>
        <w:pStyle w:val="ConsPlusNormal"/>
        <w:jc w:val="both"/>
      </w:pPr>
    </w:p>
    <w:p w:rsidR="001114AB" w:rsidRDefault="00A04225">
      <w:pPr>
        <w:pStyle w:val="ConsPlusNormal"/>
        <w:jc w:val="center"/>
      </w:pPr>
      <w:r>
        <w:t>ЗАЯВКА</w:t>
      </w:r>
    </w:p>
    <w:p w:rsidR="001114AB" w:rsidRDefault="00A04225">
      <w:pPr>
        <w:pStyle w:val="ConsPlusNormal"/>
        <w:jc w:val="center"/>
      </w:pPr>
      <w:r>
        <w:t>НА ПОЛУЧЕНИЕ СУБСИДИИ</w:t>
      </w:r>
    </w:p>
    <w:p w:rsidR="001114AB" w:rsidRDefault="001114AB">
      <w:pPr>
        <w:pStyle w:val="ConsPlusNormal"/>
        <w:jc w:val="both"/>
      </w:pPr>
    </w:p>
    <w:tbl>
      <w:tblPr>
        <w:tblW w:w="9029" w:type="dxa"/>
        <w:tblInd w:w="62" w:type="dxa"/>
        <w:tblLayout w:type="fixed"/>
        <w:tblCellMar>
          <w:top w:w="102" w:type="dxa"/>
          <w:left w:w="62" w:type="dxa"/>
          <w:bottom w:w="102" w:type="dxa"/>
          <w:right w:w="62" w:type="dxa"/>
        </w:tblCellMar>
        <w:tblLook w:val="0000" w:firstRow="0" w:lastRow="0" w:firstColumn="0" w:lastColumn="0" w:noHBand="0" w:noVBand="0"/>
      </w:tblPr>
      <w:tblGrid>
        <w:gridCol w:w="5940"/>
        <w:gridCol w:w="3089"/>
      </w:tblGrid>
      <w:tr w:rsidR="001114AB">
        <w:tc>
          <w:tcPr>
            <w:tcW w:w="9028" w:type="dxa"/>
            <w:gridSpan w:val="2"/>
            <w:vAlign w:val="center"/>
          </w:tcPr>
          <w:p w:rsidR="001114AB" w:rsidRDefault="00A04225">
            <w:pPr>
              <w:pStyle w:val="ConsPlusNormal"/>
            </w:pPr>
            <w:r>
              <w:t>__________________________________________________________________________</w:t>
            </w:r>
          </w:p>
          <w:p w:rsidR="001114AB" w:rsidRDefault="00A04225">
            <w:pPr>
              <w:pStyle w:val="ConsPlusNormal"/>
              <w:jc w:val="center"/>
            </w:pPr>
            <w:r>
              <w:t>(администрация муниципального образования Мурманской области)</w:t>
            </w:r>
          </w:p>
        </w:tc>
      </w:tr>
      <w:tr w:rsidR="001114AB">
        <w:tc>
          <w:tcPr>
            <w:tcW w:w="9028" w:type="dxa"/>
            <w:gridSpan w:val="2"/>
          </w:tcPr>
          <w:p w:rsidR="001114AB" w:rsidRDefault="00A04225">
            <w:pPr>
              <w:pStyle w:val="ConsPlusNormal"/>
            </w:pPr>
            <w:r>
              <w:t>направляет настоящую заявку на получение за счет средств субсидии из областного бюджета в 20__ году бюджету</w:t>
            </w:r>
          </w:p>
        </w:tc>
      </w:tr>
      <w:tr w:rsidR="001114AB">
        <w:tc>
          <w:tcPr>
            <w:tcW w:w="9028" w:type="dxa"/>
            <w:gridSpan w:val="2"/>
          </w:tcPr>
          <w:p w:rsidR="001114AB" w:rsidRDefault="00A04225">
            <w:pPr>
              <w:pStyle w:val="ConsPlusNormal"/>
            </w:pPr>
            <w:r>
              <w:t>__________________________________________________________________________</w:t>
            </w:r>
          </w:p>
          <w:p w:rsidR="001114AB" w:rsidRDefault="00A04225">
            <w:pPr>
              <w:pStyle w:val="ConsPlusNormal"/>
              <w:jc w:val="center"/>
            </w:pPr>
            <w:r>
              <w:t>(наименование муниципального образования Мурманской области)</w:t>
            </w:r>
          </w:p>
        </w:tc>
      </w:tr>
      <w:tr w:rsidR="001114AB">
        <w:tc>
          <w:tcPr>
            <w:tcW w:w="9028" w:type="dxa"/>
            <w:gridSpan w:val="2"/>
          </w:tcPr>
          <w:p w:rsidR="001114AB" w:rsidRDefault="00A04225">
            <w:pPr>
              <w:pStyle w:val="ConsPlusNormal"/>
            </w:pPr>
            <w:r>
              <w:t>в целях софинансирования расходных обязательств муниципального образования по оплате взносов на капитальный ремонт за муниципальный жилищный фонд (далее - расходные обязательства).</w:t>
            </w:r>
          </w:p>
        </w:tc>
      </w:tr>
      <w:tr w:rsidR="001114AB">
        <w:tc>
          <w:tcPr>
            <w:tcW w:w="9028" w:type="dxa"/>
            <w:gridSpan w:val="2"/>
          </w:tcPr>
          <w:p w:rsidR="001114AB" w:rsidRDefault="00A04225">
            <w:pPr>
              <w:pStyle w:val="ConsPlusNormal"/>
              <w:jc w:val="both"/>
            </w:pPr>
            <w:r>
              <w:t>Плановый объем расходных обязательств муниципального образования по оплате взносов на капитальный ремонт общего имущества в многоквартирных домах за муниципальный жилищный фонд на 20___ год составляет _______________________</w:t>
            </w:r>
          </w:p>
        </w:tc>
      </w:tr>
      <w:tr w:rsidR="001114AB">
        <w:tc>
          <w:tcPr>
            <w:tcW w:w="5939" w:type="dxa"/>
          </w:tcPr>
          <w:p w:rsidR="001114AB" w:rsidRDefault="001114AB">
            <w:pPr>
              <w:pStyle w:val="ConsPlusNormal"/>
            </w:pPr>
          </w:p>
        </w:tc>
        <w:tc>
          <w:tcPr>
            <w:tcW w:w="3089" w:type="dxa"/>
          </w:tcPr>
          <w:p w:rsidR="001114AB" w:rsidRDefault="00A04225">
            <w:pPr>
              <w:pStyle w:val="ConsPlusNormal"/>
              <w:jc w:val="center"/>
            </w:pPr>
            <w:r>
              <w:t>(сумма числами)</w:t>
            </w:r>
          </w:p>
        </w:tc>
      </w:tr>
      <w:tr w:rsidR="001114AB">
        <w:tc>
          <w:tcPr>
            <w:tcW w:w="9028" w:type="dxa"/>
            <w:gridSpan w:val="2"/>
          </w:tcPr>
          <w:p w:rsidR="001114AB" w:rsidRDefault="00A04225">
            <w:pPr>
              <w:pStyle w:val="ConsPlusNormal"/>
            </w:pPr>
            <w:r>
              <w:t>(____________________________) рублей, в том числе:</w:t>
            </w:r>
          </w:p>
          <w:p w:rsidR="001114AB" w:rsidRDefault="00A04225">
            <w:pPr>
              <w:pStyle w:val="ConsPlusNormal"/>
            </w:pPr>
            <w:r>
              <w:t>(сумма прописью)</w:t>
            </w:r>
          </w:p>
        </w:tc>
      </w:tr>
    </w:tbl>
    <w:p w:rsidR="001114AB" w:rsidRDefault="001114AB">
      <w:pPr>
        <w:pStyle w:val="ConsPlusNormal"/>
        <w:jc w:val="both"/>
        <w:sectPr w:rsidR="001114AB">
          <w:pgSz w:w="11906" w:h="16838"/>
          <w:pgMar w:top="1440" w:right="566" w:bottom="1440" w:left="1133" w:header="0" w:footer="0" w:gutter="0"/>
          <w:cols w:space="720"/>
          <w:formProt w:val="0"/>
          <w:titlePg/>
          <w:docGrid w:linePitch="100" w:charSpace="4096"/>
        </w:sectPr>
      </w:pPr>
    </w:p>
    <w:tbl>
      <w:tblPr>
        <w:tblW w:w="12550" w:type="dxa"/>
        <w:tblInd w:w="67" w:type="dxa"/>
        <w:tblLayout w:type="fixed"/>
        <w:tblCellMar>
          <w:top w:w="102" w:type="dxa"/>
          <w:left w:w="62" w:type="dxa"/>
          <w:bottom w:w="102" w:type="dxa"/>
          <w:right w:w="62" w:type="dxa"/>
        </w:tblCellMar>
        <w:tblLook w:val="0000" w:firstRow="0" w:lastRow="0" w:firstColumn="0" w:lastColumn="0" w:noHBand="0" w:noVBand="0"/>
      </w:tblPr>
      <w:tblGrid>
        <w:gridCol w:w="455"/>
        <w:gridCol w:w="1954"/>
        <w:gridCol w:w="1654"/>
        <w:gridCol w:w="664"/>
        <w:gridCol w:w="1309"/>
        <w:gridCol w:w="1309"/>
        <w:gridCol w:w="1684"/>
        <w:gridCol w:w="664"/>
        <w:gridCol w:w="1428"/>
        <w:gridCol w:w="1429"/>
      </w:tblGrid>
      <w:tr w:rsidR="001114AB">
        <w:tc>
          <w:tcPr>
            <w:tcW w:w="454" w:type="dxa"/>
            <w:vMerge w:val="restart"/>
            <w:tcBorders>
              <w:top w:val="single" w:sz="4" w:space="0" w:color="000000"/>
              <w:left w:val="single" w:sz="4" w:space="0" w:color="000000"/>
              <w:bottom w:val="single" w:sz="4" w:space="0" w:color="000000"/>
              <w:right w:val="single" w:sz="4" w:space="0" w:color="000000"/>
            </w:tcBorders>
            <w:vAlign w:val="center"/>
          </w:tcPr>
          <w:p w:rsidR="001114AB" w:rsidRDefault="00A04225">
            <w:pPr>
              <w:pStyle w:val="ConsPlusNormal"/>
              <w:jc w:val="center"/>
            </w:pPr>
            <w:r>
              <w:lastRenderedPageBreak/>
              <w:t xml:space="preserve">N </w:t>
            </w:r>
            <w:proofErr w:type="gramStart"/>
            <w:r>
              <w:t>п</w:t>
            </w:r>
            <w:proofErr w:type="gramEnd"/>
            <w:r>
              <w:t>/п</w:t>
            </w:r>
          </w:p>
        </w:tc>
        <w:tc>
          <w:tcPr>
            <w:tcW w:w="1954" w:type="dxa"/>
            <w:vMerge w:val="restart"/>
            <w:tcBorders>
              <w:top w:val="single" w:sz="4" w:space="0" w:color="000000"/>
              <w:left w:val="single" w:sz="4" w:space="0" w:color="000000"/>
              <w:bottom w:val="single" w:sz="4" w:space="0" w:color="000000"/>
              <w:right w:val="single" w:sz="4" w:space="0" w:color="000000"/>
            </w:tcBorders>
            <w:vAlign w:val="center"/>
          </w:tcPr>
          <w:p w:rsidR="001114AB" w:rsidRDefault="00A04225">
            <w:pPr>
              <w:pStyle w:val="ConsPlusNormal"/>
              <w:jc w:val="center"/>
            </w:pPr>
            <w:r>
              <w:t>Вид МКД</w:t>
            </w:r>
          </w:p>
        </w:tc>
        <w:tc>
          <w:tcPr>
            <w:tcW w:w="1654" w:type="dxa"/>
            <w:vMerge w:val="restart"/>
            <w:tcBorders>
              <w:top w:val="single" w:sz="4" w:space="0" w:color="000000"/>
              <w:left w:val="single" w:sz="4" w:space="0" w:color="000000"/>
              <w:bottom w:val="single" w:sz="4" w:space="0" w:color="000000"/>
              <w:right w:val="single" w:sz="4" w:space="0" w:color="000000"/>
            </w:tcBorders>
            <w:vAlign w:val="center"/>
          </w:tcPr>
          <w:p w:rsidR="001114AB" w:rsidRDefault="00A04225">
            <w:pPr>
              <w:pStyle w:val="ConsPlusNormal"/>
              <w:jc w:val="center"/>
            </w:pPr>
            <w:r>
              <w:t>Минимальный размер взноса, руб.</w:t>
            </w:r>
          </w:p>
        </w:tc>
        <w:tc>
          <w:tcPr>
            <w:tcW w:w="3282" w:type="dxa"/>
            <w:gridSpan w:val="3"/>
            <w:tcBorders>
              <w:top w:val="single" w:sz="4" w:space="0" w:color="000000"/>
              <w:left w:val="single" w:sz="4" w:space="0" w:color="000000"/>
              <w:bottom w:val="single" w:sz="4" w:space="0" w:color="000000"/>
              <w:right w:val="single" w:sz="4" w:space="0" w:color="000000"/>
            </w:tcBorders>
            <w:vAlign w:val="center"/>
          </w:tcPr>
          <w:p w:rsidR="001114AB" w:rsidRDefault="00A04225">
            <w:pPr>
              <w:pStyle w:val="ConsPlusNormal"/>
              <w:jc w:val="center"/>
            </w:pPr>
            <w:r>
              <w:t>Площадь помещений в МКД, находящихся в собственности муниципального образования (по состоянию на первое число месяца подачи заявки), м</w:t>
            </w:r>
            <w:proofErr w:type="gramStart"/>
            <w:r>
              <w:rPr>
                <w:vertAlign w:val="superscript"/>
              </w:rPr>
              <w:t>2</w:t>
            </w:r>
            <w:proofErr w:type="gramEnd"/>
          </w:p>
        </w:tc>
        <w:tc>
          <w:tcPr>
            <w:tcW w:w="1684" w:type="dxa"/>
            <w:vMerge w:val="restart"/>
            <w:tcBorders>
              <w:top w:val="single" w:sz="4" w:space="0" w:color="000000"/>
              <w:left w:val="single" w:sz="4" w:space="0" w:color="000000"/>
              <w:bottom w:val="single" w:sz="4" w:space="0" w:color="000000"/>
              <w:right w:val="single" w:sz="4" w:space="0" w:color="000000"/>
            </w:tcBorders>
            <w:vAlign w:val="center"/>
          </w:tcPr>
          <w:p w:rsidR="001114AB" w:rsidRDefault="00A04225">
            <w:pPr>
              <w:pStyle w:val="ConsPlusNormal"/>
              <w:jc w:val="center"/>
            </w:pPr>
            <w:r>
              <w:t>Количество календарных месяцев в текущем году, учитываемых с момента возникновения расходных обязательств</w:t>
            </w:r>
          </w:p>
        </w:tc>
        <w:tc>
          <w:tcPr>
            <w:tcW w:w="3521" w:type="dxa"/>
            <w:gridSpan w:val="3"/>
            <w:tcBorders>
              <w:top w:val="single" w:sz="4" w:space="0" w:color="000000"/>
              <w:left w:val="single" w:sz="4" w:space="0" w:color="000000"/>
              <w:bottom w:val="single" w:sz="4" w:space="0" w:color="000000"/>
              <w:right w:val="single" w:sz="4" w:space="0" w:color="000000"/>
            </w:tcBorders>
            <w:vAlign w:val="center"/>
          </w:tcPr>
          <w:p w:rsidR="001114AB" w:rsidRDefault="00A04225">
            <w:pPr>
              <w:pStyle w:val="ConsPlusNormal"/>
              <w:jc w:val="center"/>
            </w:pPr>
            <w:r>
              <w:t>Плановый объем расходных обязательств, руб.</w:t>
            </w:r>
          </w:p>
        </w:tc>
      </w:tr>
      <w:tr w:rsidR="001114AB">
        <w:tc>
          <w:tcPr>
            <w:tcW w:w="454" w:type="dxa"/>
            <w:vMerge/>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1954" w:type="dxa"/>
            <w:vMerge/>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1654" w:type="dxa"/>
            <w:vMerge/>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664" w:type="dxa"/>
            <w:vMerge w:val="restart"/>
            <w:tcBorders>
              <w:top w:val="single" w:sz="4" w:space="0" w:color="000000"/>
              <w:left w:val="single" w:sz="4" w:space="0" w:color="000000"/>
              <w:bottom w:val="single" w:sz="4" w:space="0" w:color="000000"/>
              <w:right w:val="single" w:sz="4" w:space="0" w:color="000000"/>
            </w:tcBorders>
            <w:vAlign w:val="center"/>
          </w:tcPr>
          <w:p w:rsidR="001114AB" w:rsidRDefault="00A04225">
            <w:pPr>
              <w:pStyle w:val="ConsPlusNormal"/>
              <w:jc w:val="center"/>
            </w:pPr>
            <w:r>
              <w:t>всего</w:t>
            </w:r>
          </w:p>
        </w:tc>
        <w:tc>
          <w:tcPr>
            <w:tcW w:w="2618" w:type="dxa"/>
            <w:gridSpan w:val="2"/>
            <w:tcBorders>
              <w:top w:val="single" w:sz="4" w:space="0" w:color="000000"/>
              <w:left w:val="single" w:sz="4" w:space="0" w:color="000000"/>
              <w:bottom w:val="single" w:sz="4" w:space="0" w:color="000000"/>
              <w:right w:val="single" w:sz="4" w:space="0" w:color="000000"/>
            </w:tcBorders>
            <w:vAlign w:val="center"/>
          </w:tcPr>
          <w:p w:rsidR="001114AB" w:rsidRDefault="00A04225">
            <w:pPr>
              <w:pStyle w:val="ConsPlusNormal"/>
              <w:jc w:val="center"/>
            </w:pPr>
            <w:r>
              <w:t>в том числе:</w:t>
            </w:r>
          </w:p>
        </w:tc>
        <w:tc>
          <w:tcPr>
            <w:tcW w:w="1684" w:type="dxa"/>
            <w:vMerge/>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664" w:type="dxa"/>
            <w:vMerge w:val="restart"/>
            <w:tcBorders>
              <w:top w:val="single" w:sz="4" w:space="0" w:color="000000"/>
              <w:left w:val="single" w:sz="4" w:space="0" w:color="000000"/>
              <w:bottom w:val="single" w:sz="4" w:space="0" w:color="000000"/>
              <w:right w:val="single" w:sz="4" w:space="0" w:color="000000"/>
            </w:tcBorders>
            <w:vAlign w:val="center"/>
          </w:tcPr>
          <w:p w:rsidR="001114AB" w:rsidRDefault="00A04225">
            <w:pPr>
              <w:pStyle w:val="ConsPlusNormal"/>
              <w:jc w:val="center"/>
            </w:pPr>
            <w:r>
              <w:t>всего</w:t>
            </w:r>
          </w:p>
        </w:tc>
        <w:tc>
          <w:tcPr>
            <w:tcW w:w="2857" w:type="dxa"/>
            <w:gridSpan w:val="2"/>
            <w:tcBorders>
              <w:top w:val="single" w:sz="4" w:space="0" w:color="000000"/>
              <w:left w:val="single" w:sz="4" w:space="0" w:color="000000"/>
              <w:bottom w:val="single" w:sz="4" w:space="0" w:color="000000"/>
              <w:right w:val="single" w:sz="4" w:space="0" w:color="000000"/>
            </w:tcBorders>
            <w:vAlign w:val="center"/>
          </w:tcPr>
          <w:p w:rsidR="001114AB" w:rsidRDefault="00A04225">
            <w:pPr>
              <w:pStyle w:val="ConsPlusNormal"/>
              <w:jc w:val="center"/>
            </w:pPr>
            <w:r>
              <w:t>в том числе:</w:t>
            </w:r>
          </w:p>
        </w:tc>
      </w:tr>
      <w:tr w:rsidR="001114AB">
        <w:tc>
          <w:tcPr>
            <w:tcW w:w="454" w:type="dxa"/>
            <w:vMerge/>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1954" w:type="dxa"/>
            <w:vMerge/>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1654" w:type="dxa"/>
            <w:vMerge/>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664" w:type="dxa"/>
            <w:vMerge/>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1309" w:type="dxa"/>
            <w:tcBorders>
              <w:top w:val="single" w:sz="4" w:space="0" w:color="000000"/>
              <w:left w:val="single" w:sz="4" w:space="0" w:color="000000"/>
              <w:bottom w:val="single" w:sz="4" w:space="0" w:color="000000"/>
              <w:right w:val="single" w:sz="4" w:space="0" w:color="000000"/>
            </w:tcBorders>
            <w:vAlign w:val="center"/>
          </w:tcPr>
          <w:p w:rsidR="001114AB" w:rsidRDefault="00A04225">
            <w:pPr>
              <w:pStyle w:val="ConsPlusNormal"/>
              <w:jc w:val="center"/>
            </w:pPr>
            <w:r>
              <w:t>площадь жилых помещений</w:t>
            </w:r>
          </w:p>
        </w:tc>
        <w:tc>
          <w:tcPr>
            <w:tcW w:w="1309" w:type="dxa"/>
            <w:tcBorders>
              <w:top w:val="single" w:sz="4" w:space="0" w:color="000000"/>
              <w:left w:val="single" w:sz="4" w:space="0" w:color="000000"/>
              <w:bottom w:val="single" w:sz="4" w:space="0" w:color="000000"/>
              <w:right w:val="single" w:sz="4" w:space="0" w:color="000000"/>
            </w:tcBorders>
            <w:vAlign w:val="center"/>
          </w:tcPr>
          <w:p w:rsidR="001114AB" w:rsidRDefault="00A04225">
            <w:pPr>
              <w:pStyle w:val="ConsPlusNormal"/>
              <w:jc w:val="center"/>
            </w:pPr>
            <w:r>
              <w:t>площадь нежилых помещений</w:t>
            </w:r>
          </w:p>
        </w:tc>
        <w:tc>
          <w:tcPr>
            <w:tcW w:w="1684" w:type="dxa"/>
            <w:vMerge/>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664" w:type="dxa"/>
            <w:vMerge/>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1428" w:type="dxa"/>
            <w:tcBorders>
              <w:top w:val="single" w:sz="4" w:space="0" w:color="000000"/>
              <w:left w:val="single" w:sz="4" w:space="0" w:color="000000"/>
              <w:bottom w:val="single" w:sz="4" w:space="0" w:color="000000"/>
              <w:right w:val="single" w:sz="4" w:space="0" w:color="000000"/>
            </w:tcBorders>
            <w:vAlign w:val="center"/>
          </w:tcPr>
          <w:p w:rsidR="001114AB" w:rsidRDefault="00A04225">
            <w:pPr>
              <w:pStyle w:val="ConsPlusNormal"/>
              <w:jc w:val="center"/>
            </w:pPr>
            <w:r>
              <w:t>по жилым помещениям</w:t>
            </w:r>
          </w:p>
        </w:tc>
        <w:tc>
          <w:tcPr>
            <w:tcW w:w="1429" w:type="dxa"/>
            <w:tcBorders>
              <w:top w:val="single" w:sz="4" w:space="0" w:color="000000"/>
              <w:left w:val="single" w:sz="4" w:space="0" w:color="000000"/>
              <w:bottom w:val="single" w:sz="4" w:space="0" w:color="000000"/>
              <w:right w:val="single" w:sz="4" w:space="0" w:color="000000"/>
            </w:tcBorders>
            <w:vAlign w:val="center"/>
          </w:tcPr>
          <w:p w:rsidR="001114AB" w:rsidRDefault="00A04225">
            <w:pPr>
              <w:pStyle w:val="ConsPlusNormal"/>
              <w:jc w:val="center"/>
            </w:pPr>
            <w:r>
              <w:t>по нежилым помещениям</w:t>
            </w:r>
          </w:p>
        </w:tc>
      </w:tr>
      <w:tr w:rsidR="001114AB">
        <w:tc>
          <w:tcPr>
            <w:tcW w:w="454" w:type="dxa"/>
            <w:tcBorders>
              <w:top w:val="single" w:sz="4" w:space="0" w:color="000000"/>
              <w:left w:val="single" w:sz="4" w:space="0" w:color="000000"/>
              <w:bottom w:val="single" w:sz="4" w:space="0" w:color="000000"/>
              <w:right w:val="single" w:sz="4" w:space="0" w:color="000000"/>
            </w:tcBorders>
          </w:tcPr>
          <w:p w:rsidR="001114AB" w:rsidRDefault="00A04225">
            <w:pPr>
              <w:pStyle w:val="ConsPlusNormal"/>
              <w:jc w:val="center"/>
            </w:pPr>
            <w:r>
              <w:t>1.1</w:t>
            </w:r>
          </w:p>
        </w:tc>
        <w:tc>
          <w:tcPr>
            <w:tcW w:w="1954" w:type="dxa"/>
            <w:tcBorders>
              <w:top w:val="single" w:sz="4" w:space="0" w:color="000000"/>
              <w:left w:val="single" w:sz="4" w:space="0" w:color="000000"/>
              <w:bottom w:val="single" w:sz="4" w:space="0" w:color="000000"/>
              <w:right w:val="single" w:sz="4" w:space="0" w:color="000000"/>
            </w:tcBorders>
            <w:vAlign w:val="center"/>
          </w:tcPr>
          <w:p w:rsidR="001114AB" w:rsidRDefault="00A04225">
            <w:pPr>
              <w:pStyle w:val="ConsPlusNormal"/>
            </w:pPr>
            <w:r>
              <w:t>В деревянных многоквартирных домах этажностью 3 и менее этажей</w:t>
            </w:r>
          </w:p>
        </w:tc>
        <w:tc>
          <w:tcPr>
            <w:tcW w:w="1654" w:type="dxa"/>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664" w:type="dxa"/>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1309" w:type="dxa"/>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1309" w:type="dxa"/>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1684" w:type="dxa"/>
            <w:tcBorders>
              <w:top w:val="single" w:sz="4" w:space="0" w:color="000000"/>
              <w:left w:val="single" w:sz="4" w:space="0" w:color="000000"/>
              <w:bottom w:val="single" w:sz="4" w:space="0" w:color="000000"/>
              <w:right w:val="single" w:sz="4" w:space="0" w:color="000000"/>
            </w:tcBorders>
          </w:tcPr>
          <w:p w:rsidR="001114AB" w:rsidRDefault="00A04225">
            <w:pPr>
              <w:pStyle w:val="ConsPlusNormal"/>
              <w:jc w:val="center"/>
            </w:pPr>
            <w:r>
              <w:t>12</w:t>
            </w:r>
          </w:p>
        </w:tc>
        <w:tc>
          <w:tcPr>
            <w:tcW w:w="664" w:type="dxa"/>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1428" w:type="dxa"/>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1429" w:type="dxa"/>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r>
      <w:tr w:rsidR="001114AB">
        <w:tc>
          <w:tcPr>
            <w:tcW w:w="454" w:type="dxa"/>
            <w:tcBorders>
              <w:top w:val="single" w:sz="4" w:space="0" w:color="000000"/>
              <w:left w:val="single" w:sz="4" w:space="0" w:color="000000"/>
              <w:bottom w:val="single" w:sz="4" w:space="0" w:color="000000"/>
              <w:right w:val="single" w:sz="4" w:space="0" w:color="000000"/>
            </w:tcBorders>
          </w:tcPr>
          <w:p w:rsidR="001114AB" w:rsidRDefault="00A04225">
            <w:pPr>
              <w:pStyle w:val="ConsPlusNormal"/>
              <w:jc w:val="center"/>
            </w:pPr>
            <w:r>
              <w:t>1.2</w:t>
            </w:r>
          </w:p>
        </w:tc>
        <w:tc>
          <w:tcPr>
            <w:tcW w:w="1954" w:type="dxa"/>
            <w:tcBorders>
              <w:top w:val="single" w:sz="4" w:space="0" w:color="000000"/>
              <w:left w:val="single" w:sz="4" w:space="0" w:color="000000"/>
              <w:bottom w:val="single" w:sz="4" w:space="0" w:color="000000"/>
              <w:right w:val="single" w:sz="4" w:space="0" w:color="000000"/>
            </w:tcBorders>
            <w:vAlign w:val="center"/>
          </w:tcPr>
          <w:p w:rsidR="001114AB" w:rsidRDefault="00A04225">
            <w:pPr>
              <w:pStyle w:val="ConsPlusNormal"/>
            </w:pPr>
            <w:r>
              <w:t>В деревянных многоквартирных домах этажностью 3 и менее этажей</w:t>
            </w:r>
          </w:p>
        </w:tc>
        <w:tc>
          <w:tcPr>
            <w:tcW w:w="1654" w:type="dxa"/>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664" w:type="dxa"/>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1309" w:type="dxa"/>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1309" w:type="dxa"/>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1684" w:type="dxa"/>
            <w:tcBorders>
              <w:top w:val="single" w:sz="4" w:space="0" w:color="000000"/>
              <w:left w:val="single" w:sz="4" w:space="0" w:color="000000"/>
              <w:bottom w:val="single" w:sz="4" w:space="0" w:color="000000"/>
              <w:right w:val="single" w:sz="4" w:space="0" w:color="000000"/>
            </w:tcBorders>
          </w:tcPr>
          <w:p w:rsidR="001114AB" w:rsidRDefault="00A04225">
            <w:pPr>
              <w:pStyle w:val="ConsPlusNormal"/>
              <w:jc w:val="center"/>
            </w:pPr>
            <w:r>
              <w:t xml:space="preserve">N </w:t>
            </w:r>
            <w:hyperlink w:anchor="P201" w:tgtFrame="&lt;*&gt; Указывается полное количество месяцев в соответствии со сроком возникновения обязательств у собственников помещений в многоквартирных домах, все помещения в которых принадлежат одному собственнику, впервые включенных в региональную программу капитальн">
              <w:r>
                <w:rPr>
                  <w:color w:val="0000FF"/>
                </w:rPr>
                <w:t>&lt;*&gt;</w:t>
              </w:r>
            </w:hyperlink>
          </w:p>
        </w:tc>
        <w:tc>
          <w:tcPr>
            <w:tcW w:w="664" w:type="dxa"/>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1428" w:type="dxa"/>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1429" w:type="dxa"/>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r>
      <w:tr w:rsidR="001114AB">
        <w:tc>
          <w:tcPr>
            <w:tcW w:w="454" w:type="dxa"/>
            <w:tcBorders>
              <w:top w:val="single" w:sz="4" w:space="0" w:color="000000"/>
              <w:left w:val="single" w:sz="4" w:space="0" w:color="000000"/>
              <w:bottom w:val="single" w:sz="4" w:space="0" w:color="000000"/>
              <w:right w:val="single" w:sz="4" w:space="0" w:color="000000"/>
            </w:tcBorders>
          </w:tcPr>
          <w:p w:rsidR="001114AB" w:rsidRDefault="00A04225">
            <w:pPr>
              <w:pStyle w:val="ConsPlusNormal"/>
              <w:jc w:val="center"/>
            </w:pPr>
            <w:r>
              <w:t>2.1</w:t>
            </w:r>
          </w:p>
        </w:tc>
        <w:tc>
          <w:tcPr>
            <w:tcW w:w="1954" w:type="dxa"/>
            <w:tcBorders>
              <w:top w:val="single" w:sz="4" w:space="0" w:color="000000"/>
              <w:left w:val="single" w:sz="4" w:space="0" w:color="000000"/>
              <w:bottom w:val="single" w:sz="4" w:space="0" w:color="000000"/>
              <w:right w:val="single" w:sz="4" w:space="0" w:color="000000"/>
            </w:tcBorders>
            <w:vAlign w:val="center"/>
          </w:tcPr>
          <w:p w:rsidR="001114AB" w:rsidRDefault="00A04225">
            <w:pPr>
              <w:pStyle w:val="ConsPlusNormal"/>
            </w:pPr>
            <w:r>
              <w:t>В прочих многоквартирных домах</w:t>
            </w:r>
          </w:p>
        </w:tc>
        <w:tc>
          <w:tcPr>
            <w:tcW w:w="1654" w:type="dxa"/>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664" w:type="dxa"/>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1309" w:type="dxa"/>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1309" w:type="dxa"/>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1684" w:type="dxa"/>
            <w:tcBorders>
              <w:top w:val="single" w:sz="4" w:space="0" w:color="000000"/>
              <w:left w:val="single" w:sz="4" w:space="0" w:color="000000"/>
              <w:bottom w:val="single" w:sz="4" w:space="0" w:color="000000"/>
              <w:right w:val="single" w:sz="4" w:space="0" w:color="000000"/>
            </w:tcBorders>
          </w:tcPr>
          <w:p w:rsidR="001114AB" w:rsidRDefault="00A04225">
            <w:pPr>
              <w:pStyle w:val="ConsPlusNormal"/>
              <w:jc w:val="center"/>
            </w:pPr>
            <w:r>
              <w:t>12</w:t>
            </w:r>
          </w:p>
        </w:tc>
        <w:tc>
          <w:tcPr>
            <w:tcW w:w="664" w:type="dxa"/>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1428" w:type="dxa"/>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1429" w:type="dxa"/>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r>
      <w:tr w:rsidR="001114AB">
        <w:tc>
          <w:tcPr>
            <w:tcW w:w="454" w:type="dxa"/>
            <w:tcBorders>
              <w:top w:val="single" w:sz="4" w:space="0" w:color="000000"/>
              <w:left w:val="single" w:sz="4" w:space="0" w:color="000000"/>
              <w:bottom w:val="single" w:sz="4" w:space="0" w:color="000000"/>
              <w:right w:val="single" w:sz="4" w:space="0" w:color="000000"/>
            </w:tcBorders>
          </w:tcPr>
          <w:p w:rsidR="001114AB" w:rsidRDefault="00A04225">
            <w:pPr>
              <w:pStyle w:val="ConsPlusNormal"/>
              <w:jc w:val="center"/>
            </w:pPr>
            <w:r>
              <w:t>2.2</w:t>
            </w:r>
          </w:p>
        </w:tc>
        <w:tc>
          <w:tcPr>
            <w:tcW w:w="1954" w:type="dxa"/>
            <w:tcBorders>
              <w:top w:val="single" w:sz="4" w:space="0" w:color="000000"/>
              <w:left w:val="single" w:sz="4" w:space="0" w:color="000000"/>
              <w:bottom w:val="single" w:sz="4" w:space="0" w:color="000000"/>
              <w:right w:val="single" w:sz="4" w:space="0" w:color="000000"/>
            </w:tcBorders>
            <w:vAlign w:val="center"/>
          </w:tcPr>
          <w:p w:rsidR="001114AB" w:rsidRDefault="00A04225">
            <w:pPr>
              <w:pStyle w:val="ConsPlusNormal"/>
            </w:pPr>
            <w:r>
              <w:t>В прочих многоквартирных домах</w:t>
            </w:r>
          </w:p>
        </w:tc>
        <w:tc>
          <w:tcPr>
            <w:tcW w:w="1654" w:type="dxa"/>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664" w:type="dxa"/>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1309" w:type="dxa"/>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1309" w:type="dxa"/>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1684" w:type="dxa"/>
            <w:tcBorders>
              <w:top w:val="single" w:sz="4" w:space="0" w:color="000000"/>
              <w:left w:val="single" w:sz="4" w:space="0" w:color="000000"/>
              <w:bottom w:val="single" w:sz="4" w:space="0" w:color="000000"/>
              <w:right w:val="single" w:sz="4" w:space="0" w:color="000000"/>
            </w:tcBorders>
          </w:tcPr>
          <w:p w:rsidR="001114AB" w:rsidRDefault="00A04225">
            <w:pPr>
              <w:pStyle w:val="ConsPlusNormal"/>
              <w:jc w:val="center"/>
            </w:pPr>
            <w:r>
              <w:t xml:space="preserve">N </w:t>
            </w:r>
            <w:hyperlink w:anchor="P201" w:tgtFrame="&lt;*&gt; Указывается полное количество месяцев в соответствии со сроком возникновения обязательств у собственников помещений в многоквартирных домах, все помещения в которых принадлежат одному собственнику, впервые включенных в региональную программу капитальн">
              <w:r>
                <w:rPr>
                  <w:color w:val="0000FF"/>
                </w:rPr>
                <w:t>&lt;*&gt;</w:t>
              </w:r>
            </w:hyperlink>
          </w:p>
        </w:tc>
        <w:tc>
          <w:tcPr>
            <w:tcW w:w="664" w:type="dxa"/>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1428" w:type="dxa"/>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1429" w:type="dxa"/>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r>
      <w:tr w:rsidR="001114AB">
        <w:tc>
          <w:tcPr>
            <w:tcW w:w="454" w:type="dxa"/>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1954" w:type="dxa"/>
            <w:tcBorders>
              <w:top w:val="single" w:sz="4" w:space="0" w:color="000000"/>
              <w:left w:val="single" w:sz="4" w:space="0" w:color="000000"/>
              <w:bottom w:val="single" w:sz="4" w:space="0" w:color="000000"/>
              <w:right w:val="single" w:sz="4" w:space="0" w:color="000000"/>
            </w:tcBorders>
            <w:vAlign w:val="center"/>
          </w:tcPr>
          <w:p w:rsidR="001114AB" w:rsidRDefault="00A04225">
            <w:pPr>
              <w:pStyle w:val="ConsPlusNormal"/>
            </w:pPr>
            <w:r>
              <w:t>Всего</w:t>
            </w:r>
          </w:p>
        </w:tc>
        <w:tc>
          <w:tcPr>
            <w:tcW w:w="1654" w:type="dxa"/>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664" w:type="dxa"/>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1309" w:type="dxa"/>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1309" w:type="dxa"/>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1684" w:type="dxa"/>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664" w:type="dxa"/>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1428" w:type="dxa"/>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c>
          <w:tcPr>
            <w:tcW w:w="1429" w:type="dxa"/>
            <w:tcBorders>
              <w:top w:val="single" w:sz="4" w:space="0" w:color="000000"/>
              <w:left w:val="single" w:sz="4" w:space="0" w:color="000000"/>
              <w:bottom w:val="single" w:sz="4" w:space="0" w:color="000000"/>
              <w:right w:val="single" w:sz="4" w:space="0" w:color="000000"/>
            </w:tcBorders>
          </w:tcPr>
          <w:p w:rsidR="001114AB" w:rsidRDefault="001114AB">
            <w:pPr>
              <w:pStyle w:val="ConsPlusNormal"/>
            </w:pPr>
          </w:p>
        </w:tc>
      </w:tr>
    </w:tbl>
    <w:p w:rsidR="001114AB" w:rsidRDefault="001114AB">
      <w:pPr>
        <w:pStyle w:val="ConsPlusNormal"/>
        <w:sectPr w:rsidR="001114AB">
          <w:pgSz w:w="16838" w:h="11906" w:orient="landscape"/>
          <w:pgMar w:top="1133" w:right="1440" w:bottom="566" w:left="1440" w:header="0" w:footer="0" w:gutter="0"/>
          <w:cols w:space="720"/>
          <w:formProt w:val="0"/>
          <w:docGrid w:linePitch="100" w:charSpace="4096"/>
        </w:sectPr>
      </w:pPr>
    </w:p>
    <w:p w:rsidR="001114AB" w:rsidRDefault="001114AB">
      <w:pPr>
        <w:pStyle w:val="ConsPlusNormal"/>
        <w:jc w:val="both"/>
      </w:pPr>
    </w:p>
    <w:p w:rsidR="001114AB" w:rsidRDefault="00A04225">
      <w:pPr>
        <w:pStyle w:val="ConsPlusNormal"/>
        <w:ind w:firstLine="540"/>
        <w:jc w:val="both"/>
      </w:pPr>
      <w:r>
        <w:t>--------------------------------</w:t>
      </w:r>
      <w:bookmarkStart w:id="5" w:name="P201"/>
    </w:p>
    <w:bookmarkEnd w:id="5"/>
    <w:p w:rsidR="001114AB" w:rsidRDefault="00A04225">
      <w:pPr>
        <w:pStyle w:val="ConsPlusNormal"/>
        <w:spacing w:before="240"/>
        <w:ind w:firstLine="540"/>
        <w:jc w:val="both"/>
      </w:pPr>
      <w:proofErr w:type="gramStart"/>
      <w:r>
        <w:t>&lt;*&gt; Указывается полное количество месяцев в соответствии со сроком возникновения обязательств у собственников помещений в многоквартирных домах, все помещения в которых принадлежат одному собственнику, впервые включенных в региональную программу капитального ремонта общего имущества в многоквартирных домах, расположенных на территории Мурманской области, на 2014 - 2043 годы, утвержденную постановлением Правительства Мурманской области от 31.03.2014 N 168-ПП.</w:t>
      </w:r>
      <w:proofErr w:type="gramEnd"/>
    </w:p>
    <w:p w:rsidR="001114AB" w:rsidRDefault="001114AB">
      <w:pPr>
        <w:pStyle w:val="ConsPlusNormal"/>
        <w:jc w:val="both"/>
      </w:pPr>
    </w:p>
    <w:p w:rsidR="001114AB" w:rsidRDefault="00A04225">
      <w:pPr>
        <w:pStyle w:val="ConsPlusNormal"/>
        <w:ind w:firstLine="540"/>
        <w:jc w:val="both"/>
      </w:pPr>
      <w:r>
        <w:t>К заявке на получение субсидии прилагаются следующие документы:</w:t>
      </w:r>
    </w:p>
    <w:p w:rsidR="001114AB" w:rsidRDefault="00A04225">
      <w:pPr>
        <w:pStyle w:val="ConsPlusNormal"/>
        <w:spacing w:before="240"/>
        <w:ind w:firstLine="540"/>
        <w:jc w:val="both"/>
      </w:pPr>
      <w:r>
        <w:t>1. Муниципальная программа __________________ на ____ л. в 1 экз.</w:t>
      </w:r>
    </w:p>
    <w:p w:rsidR="001114AB" w:rsidRDefault="00A04225">
      <w:pPr>
        <w:pStyle w:val="ConsPlusNormal"/>
        <w:spacing w:before="240"/>
        <w:ind w:firstLine="540"/>
        <w:jc w:val="both"/>
      </w:pPr>
      <w:r>
        <w:t>2. Копии договоров на уплату взносов на капитальный ремонт в текущем году, содержащих реестр муниципального жилого фонда (с указанием площади муниципальных помещений в деревянных домах этажностью 3 и менее этажей, включенных в региональную программу; площади муниципальных помещений в прочих многоквартирных домах, включенных в региональную программу; площади муниципальных жилых и нежилых помещений по состоянию на первое число месяца подачи заявки), заверенные в установленном порядке, на __________ л. в 1 экз.</w:t>
      </w:r>
    </w:p>
    <w:p w:rsidR="001114AB" w:rsidRDefault="00A04225">
      <w:pPr>
        <w:pStyle w:val="ConsPlusNormal"/>
        <w:spacing w:before="240"/>
        <w:ind w:firstLine="540"/>
        <w:jc w:val="both"/>
      </w:pPr>
      <w:r>
        <w:t>Достоверность представленных сведений гарантирую.</w:t>
      </w:r>
    </w:p>
    <w:p w:rsidR="001114AB" w:rsidRDefault="001114AB">
      <w:pPr>
        <w:pStyle w:val="ConsPlusNormal"/>
        <w:jc w:val="both"/>
      </w:pPr>
    </w:p>
    <w:tbl>
      <w:tblPr>
        <w:tblW w:w="9071" w:type="dxa"/>
        <w:tblInd w:w="62" w:type="dxa"/>
        <w:tblLayout w:type="fixed"/>
        <w:tblCellMar>
          <w:top w:w="102" w:type="dxa"/>
          <w:left w:w="62" w:type="dxa"/>
          <w:bottom w:w="102" w:type="dxa"/>
          <w:right w:w="62" w:type="dxa"/>
        </w:tblCellMar>
        <w:tblLook w:val="0000" w:firstRow="0" w:lastRow="0" w:firstColumn="0" w:lastColumn="0" w:noHBand="0" w:noVBand="0"/>
      </w:tblPr>
      <w:tblGrid>
        <w:gridCol w:w="3573"/>
        <w:gridCol w:w="1814"/>
        <w:gridCol w:w="339"/>
        <w:gridCol w:w="3345"/>
      </w:tblGrid>
      <w:tr w:rsidR="001114AB">
        <w:tc>
          <w:tcPr>
            <w:tcW w:w="3572" w:type="dxa"/>
          </w:tcPr>
          <w:p w:rsidR="001114AB" w:rsidRDefault="00A04225">
            <w:pPr>
              <w:pStyle w:val="ConsPlusNormal"/>
            </w:pPr>
            <w:r>
              <w:t>Глава администрации</w:t>
            </w:r>
          </w:p>
        </w:tc>
        <w:tc>
          <w:tcPr>
            <w:tcW w:w="1814" w:type="dxa"/>
          </w:tcPr>
          <w:p w:rsidR="001114AB" w:rsidRDefault="00A04225">
            <w:pPr>
              <w:pStyle w:val="ConsPlusNormal"/>
              <w:jc w:val="center"/>
            </w:pPr>
            <w:r>
              <w:t>______________</w:t>
            </w:r>
          </w:p>
        </w:tc>
        <w:tc>
          <w:tcPr>
            <w:tcW w:w="339" w:type="dxa"/>
          </w:tcPr>
          <w:p w:rsidR="001114AB" w:rsidRDefault="00A04225">
            <w:pPr>
              <w:pStyle w:val="ConsPlusNormal"/>
              <w:jc w:val="center"/>
            </w:pPr>
            <w:r>
              <w:t>/</w:t>
            </w:r>
          </w:p>
        </w:tc>
        <w:tc>
          <w:tcPr>
            <w:tcW w:w="3345" w:type="dxa"/>
          </w:tcPr>
          <w:p w:rsidR="001114AB" w:rsidRDefault="00A04225">
            <w:pPr>
              <w:pStyle w:val="ConsPlusNormal"/>
              <w:jc w:val="center"/>
            </w:pPr>
            <w:r>
              <w:t>__________________________</w:t>
            </w:r>
          </w:p>
        </w:tc>
      </w:tr>
      <w:tr w:rsidR="001114AB">
        <w:tc>
          <w:tcPr>
            <w:tcW w:w="3572" w:type="dxa"/>
            <w:vAlign w:val="bottom"/>
          </w:tcPr>
          <w:p w:rsidR="001114AB" w:rsidRDefault="001114AB">
            <w:pPr>
              <w:pStyle w:val="ConsPlusNormal"/>
            </w:pPr>
          </w:p>
        </w:tc>
        <w:tc>
          <w:tcPr>
            <w:tcW w:w="1814" w:type="dxa"/>
          </w:tcPr>
          <w:p w:rsidR="001114AB" w:rsidRDefault="00A04225">
            <w:pPr>
              <w:pStyle w:val="ConsPlusNormal"/>
              <w:jc w:val="center"/>
            </w:pPr>
            <w:r>
              <w:t>подпись</w:t>
            </w:r>
          </w:p>
        </w:tc>
        <w:tc>
          <w:tcPr>
            <w:tcW w:w="339" w:type="dxa"/>
          </w:tcPr>
          <w:p w:rsidR="001114AB" w:rsidRDefault="001114AB">
            <w:pPr>
              <w:pStyle w:val="ConsPlusNormal"/>
            </w:pPr>
          </w:p>
        </w:tc>
        <w:tc>
          <w:tcPr>
            <w:tcW w:w="3345" w:type="dxa"/>
          </w:tcPr>
          <w:p w:rsidR="001114AB" w:rsidRDefault="00A04225">
            <w:pPr>
              <w:pStyle w:val="ConsPlusNormal"/>
              <w:jc w:val="center"/>
            </w:pPr>
            <w:r>
              <w:t>Ф.И.О.</w:t>
            </w:r>
          </w:p>
        </w:tc>
      </w:tr>
      <w:tr w:rsidR="001114AB">
        <w:tc>
          <w:tcPr>
            <w:tcW w:w="3572" w:type="dxa"/>
          </w:tcPr>
          <w:p w:rsidR="001114AB" w:rsidRDefault="00A04225">
            <w:pPr>
              <w:pStyle w:val="ConsPlusNormal"/>
            </w:pPr>
            <w:r>
              <w:t>М.П.</w:t>
            </w:r>
          </w:p>
        </w:tc>
        <w:tc>
          <w:tcPr>
            <w:tcW w:w="1814" w:type="dxa"/>
            <w:vMerge w:val="restart"/>
          </w:tcPr>
          <w:p w:rsidR="001114AB" w:rsidRDefault="001114AB">
            <w:pPr>
              <w:pStyle w:val="ConsPlusNormal"/>
            </w:pPr>
          </w:p>
        </w:tc>
        <w:tc>
          <w:tcPr>
            <w:tcW w:w="339" w:type="dxa"/>
            <w:vMerge w:val="restart"/>
          </w:tcPr>
          <w:p w:rsidR="001114AB" w:rsidRDefault="001114AB">
            <w:pPr>
              <w:pStyle w:val="ConsPlusNormal"/>
            </w:pPr>
          </w:p>
        </w:tc>
        <w:tc>
          <w:tcPr>
            <w:tcW w:w="3345" w:type="dxa"/>
            <w:vMerge w:val="restart"/>
          </w:tcPr>
          <w:p w:rsidR="001114AB" w:rsidRDefault="001114AB">
            <w:pPr>
              <w:pStyle w:val="ConsPlusNormal"/>
            </w:pPr>
          </w:p>
        </w:tc>
      </w:tr>
      <w:tr w:rsidR="001114AB">
        <w:tc>
          <w:tcPr>
            <w:tcW w:w="3572" w:type="dxa"/>
          </w:tcPr>
          <w:p w:rsidR="001114AB" w:rsidRDefault="00A04225">
            <w:pPr>
              <w:pStyle w:val="ConsPlusNormal"/>
            </w:pPr>
            <w:r>
              <w:t>"__" _____________ 20_ года</w:t>
            </w:r>
          </w:p>
        </w:tc>
        <w:tc>
          <w:tcPr>
            <w:tcW w:w="1814" w:type="dxa"/>
            <w:vMerge/>
          </w:tcPr>
          <w:p w:rsidR="001114AB" w:rsidRDefault="001114AB">
            <w:pPr>
              <w:pStyle w:val="ConsPlusNormal"/>
            </w:pPr>
          </w:p>
        </w:tc>
        <w:tc>
          <w:tcPr>
            <w:tcW w:w="339" w:type="dxa"/>
            <w:vMerge/>
          </w:tcPr>
          <w:p w:rsidR="001114AB" w:rsidRDefault="001114AB">
            <w:pPr>
              <w:pStyle w:val="ConsPlusNormal"/>
            </w:pPr>
          </w:p>
        </w:tc>
        <w:tc>
          <w:tcPr>
            <w:tcW w:w="3345" w:type="dxa"/>
            <w:vMerge/>
          </w:tcPr>
          <w:p w:rsidR="001114AB" w:rsidRDefault="001114AB">
            <w:pPr>
              <w:pStyle w:val="ConsPlusNormal"/>
            </w:pPr>
          </w:p>
        </w:tc>
      </w:tr>
      <w:tr w:rsidR="001114AB">
        <w:tc>
          <w:tcPr>
            <w:tcW w:w="3572" w:type="dxa"/>
            <w:vAlign w:val="bottom"/>
          </w:tcPr>
          <w:p w:rsidR="001114AB" w:rsidRDefault="00A04225">
            <w:pPr>
              <w:pStyle w:val="ConsPlusNormal"/>
            </w:pPr>
            <w:r>
              <w:t>Ф.И.О. исполнителя,</w:t>
            </w:r>
          </w:p>
          <w:p w:rsidR="001114AB" w:rsidRDefault="00A04225">
            <w:pPr>
              <w:pStyle w:val="ConsPlusNormal"/>
            </w:pPr>
            <w:r>
              <w:t>Тел. (815 __________)</w:t>
            </w:r>
          </w:p>
        </w:tc>
        <w:tc>
          <w:tcPr>
            <w:tcW w:w="1814" w:type="dxa"/>
          </w:tcPr>
          <w:p w:rsidR="001114AB" w:rsidRDefault="001114AB">
            <w:pPr>
              <w:pStyle w:val="ConsPlusNormal"/>
            </w:pPr>
          </w:p>
        </w:tc>
        <w:tc>
          <w:tcPr>
            <w:tcW w:w="339" w:type="dxa"/>
          </w:tcPr>
          <w:p w:rsidR="001114AB" w:rsidRDefault="001114AB">
            <w:pPr>
              <w:pStyle w:val="ConsPlusNormal"/>
            </w:pPr>
          </w:p>
        </w:tc>
        <w:tc>
          <w:tcPr>
            <w:tcW w:w="3345" w:type="dxa"/>
          </w:tcPr>
          <w:p w:rsidR="001114AB" w:rsidRDefault="001114AB">
            <w:pPr>
              <w:pStyle w:val="ConsPlusNormal"/>
            </w:pPr>
          </w:p>
        </w:tc>
      </w:tr>
    </w:tbl>
    <w:p w:rsidR="001114AB" w:rsidRDefault="00A04225">
      <w:pPr>
        <w:pStyle w:val="ConsPlusNormal"/>
      </w:pPr>
      <w:r>
        <w:rPr>
          <w:i/>
        </w:rPr>
        <w:br/>
        <w:t>Постановление Правительства Мурманской области от 13.11.2020 N 795-ПП (ред. от 01.09.2025) "О государственной программе Мурманской области "Комфортное жилье и городская среда" {</w:t>
      </w:r>
      <w:proofErr w:type="spellStart"/>
      <w:r>
        <w:rPr>
          <w:i/>
        </w:rPr>
        <w:t>КонсультантПлюс</w:t>
      </w:r>
      <w:proofErr w:type="spellEnd"/>
      <w:r>
        <w:rPr>
          <w:i/>
        </w:rPr>
        <w:t>}</w:t>
      </w:r>
      <w:r>
        <w:br/>
      </w:r>
    </w:p>
    <w:sectPr w:rsidR="001114AB">
      <w:pgSz w:w="11906" w:h="16838"/>
      <w:pgMar w:top="1440" w:right="566" w:bottom="1440" w:left="1133" w:header="0" w:footer="0" w:gutter="0"/>
      <w:cols w:space="720"/>
      <w:formProt w:val="0"/>
      <w:titlePg/>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font>
  <w:font w:name="Times New Roman">
    <w:panose1 w:val="02020603050405020304"/>
    <w:charset w:val="CC"/>
    <w:family w:val="roman"/>
    <w:pitch w:val="variable"/>
    <w:sig w:usb0="20002A87" w:usb1="00000000" w:usb2="00000000" w:usb3="00000000" w:csb0="000001FF" w:csb1="00000000"/>
  </w:font>
  <w:font w:name="PT Astra Serif">
    <w:altName w:val="Times New Roman"/>
    <w:charset w:val="01"/>
    <w:family w:val="roman"/>
    <w:pitch w:val="default"/>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Mangal">
    <w:altName w:val="IDAutomationHC39M"/>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4AB"/>
    <w:rsid w:val="000E5EDF"/>
    <w:rsid w:val="001114AB"/>
    <w:rsid w:val="005952B2"/>
    <w:rsid w:val="00A0422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ahoma" w:hAnsi="Calibri" w:cs="Noto Sans Devanagari"/>
        <w:kern w:val="2"/>
        <w:sz w:val="22"/>
        <w:szCs w:val="24"/>
        <w:lang w:val="ru-R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80"/>
      <w:u w:val="single"/>
    </w:rPr>
  </w:style>
  <w:style w:type="paragraph" w:customStyle="1" w:styleId="a4">
    <w:name w:val="Заголовок"/>
    <w:basedOn w:val="a"/>
    <w:next w:val="a5"/>
    <w:qFormat/>
    <w:pPr>
      <w:keepNext/>
      <w:spacing w:before="240" w:after="120"/>
    </w:pPr>
    <w:rPr>
      <w:rFonts w:ascii="PT Astra Serif" w:hAnsi="PT Astra Serif"/>
      <w:sz w:val="28"/>
      <w:szCs w:val="28"/>
    </w:rPr>
  </w:style>
  <w:style w:type="paragraph" w:styleId="a5">
    <w:name w:val="Body Text"/>
    <w:basedOn w:val="a"/>
    <w:pPr>
      <w:spacing w:after="140" w:line="276" w:lineRule="auto"/>
    </w:pPr>
  </w:style>
  <w:style w:type="paragraph" w:styleId="a6">
    <w:name w:val="List"/>
    <w:basedOn w:val="a5"/>
    <w:rPr>
      <w:rFonts w:ascii="PT Astra Serif" w:hAnsi="PT Astra Serif"/>
    </w:rPr>
  </w:style>
  <w:style w:type="paragraph" w:styleId="a7">
    <w:name w:val="caption"/>
    <w:basedOn w:val="a"/>
    <w:qFormat/>
    <w:pPr>
      <w:suppressLineNumbers/>
      <w:spacing w:before="120" w:after="120"/>
    </w:pPr>
    <w:rPr>
      <w:rFonts w:ascii="PT Astra Serif" w:hAnsi="PT Astra Serif"/>
      <w:i/>
      <w:iCs/>
      <w:sz w:val="24"/>
    </w:rPr>
  </w:style>
  <w:style w:type="paragraph" w:styleId="a8">
    <w:name w:val="index heading"/>
    <w:basedOn w:val="a"/>
    <w:qFormat/>
    <w:pPr>
      <w:suppressLineNumbers/>
    </w:pPr>
    <w:rPr>
      <w:rFonts w:ascii="PT Astra Serif" w:hAnsi="PT Astra Serif"/>
    </w:rPr>
  </w:style>
  <w:style w:type="paragraph" w:customStyle="1" w:styleId="ConsPlusNormal">
    <w:name w:val="ConsPlusNormal"/>
    <w:qFormat/>
    <w:pPr>
      <w:widowControl w:val="0"/>
    </w:pPr>
    <w:rPr>
      <w:rFonts w:ascii="Times New Roman" w:hAnsi="Times New Roman" w:cs="Times New Roman"/>
      <w:sz w:val="24"/>
    </w:rPr>
  </w:style>
  <w:style w:type="paragraph" w:customStyle="1" w:styleId="ConsPlusNonformat">
    <w:name w:val="ConsPlusNonformat"/>
    <w:qFormat/>
    <w:pPr>
      <w:widowControl w:val="0"/>
    </w:pPr>
    <w:rPr>
      <w:rFonts w:ascii="Courier New" w:hAnsi="Courier New" w:cs="Courier New"/>
      <w:sz w:val="20"/>
    </w:rPr>
  </w:style>
  <w:style w:type="paragraph" w:customStyle="1" w:styleId="ConsPlusTitle">
    <w:name w:val="ConsPlusTitle"/>
    <w:qFormat/>
    <w:pPr>
      <w:widowControl w:val="0"/>
    </w:pPr>
    <w:rPr>
      <w:rFonts w:ascii="Arial" w:hAnsi="Arial" w:cs="Arial"/>
      <w:b/>
      <w:sz w:val="24"/>
    </w:rPr>
  </w:style>
  <w:style w:type="paragraph" w:customStyle="1" w:styleId="ConsPlusCell">
    <w:name w:val="ConsPlusCell"/>
    <w:qFormat/>
    <w:pPr>
      <w:widowControl w:val="0"/>
    </w:pPr>
    <w:rPr>
      <w:rFonts w:ascii="Courier New" w:hAnsi="Courier New" w:cs="Courier New"/>
      <w:sz w:val="20"/>
    </w:rPr>
  </w:style>
  <w:style w:type="paragraph" w:customStyle="1" w:styleId="ConsPlusDocList">
    <w:name w:val="ConsPlusDocList"/>
    <w:qFormat/>
    <w:pPr>
      <w:widowControl w:val="0"/>
    </w:pPr>
    <w:rPr>
      <w:rFonts w:ascii="Tahoma" w:hAnsi="Tahoma" w:cs="Tahoma"/>
      <w:sz w:val="18"/>
    </w:rPr>
  </w:style>
  <w:style w:type="paragraph" w:customStyle="1" w:styleId="ConsPlusTitlePage">
    <w:name w:val="ConsPlusTitlePage"/>
    <w:qFormat/>
    <w:pPr>
      <w:widowControl w:val="0"/>
    </w:pPr>
    <w:rPr>
      <w:rFonts w:ascii="Tahoma" w:hAnsi="Tahoma" w:cs="Tahoma"/>
      <w:sz w:val="20"/>
    </w:rPr>
  </w:style>
  <w:style w:type="paragraph" w:customStyle="1" w:styleId="ConsPlusJurTerm">
    <w:name w:val="ConsPlusJurTerm"/>
    <w:qFormat/>
    <w:pPr>
      <w:widowControl w:val="0"/>
    </w:pPr>
    <w:rPr>
      <w:rFonts w:ascii="Tahoma" w:hAnsi="Tahoma" w:cs="Tahoma"/>
      <w:sz w:val="26"/>
    </w:rPr>
  </w:style>
  <w:style w:type="paragraph" w:customStyle="1" w:styleId="ConsPlusTextList">
    <w:name w:val="ConsPlusTextList"/>
    <w:qFormat/>
    <w:pPr>
      <w:widowControl w:val="0"/>
    </w:pPr>
    <w:rPr>
      <w:rFonts w:ascii="Times New Roman" w:hAnsi="Times New Roman" w:cs="Times New Roman"/>
      <w:sz w:val="24"/>
    </w:rPr>
  </w:style>
  <w:style w:type="paragraph" w:styleId="a9">
    <w:name w:val="Balloon Text"/>
    <w:basedOn w:val="a"/>
    <w:link w:val="aa"/>
    <w:uiPriority w:val="99"/>
    <w:semiHidden/>
    <w:unhideWhenUsed/>
    <w:rsid w:val="000E5EDF"/>
    <w:rPr>
      <w:rFonts w:ascii="Tahoma" w:hAnsi="Tahoma" w:cs="Mangal"/>
      <w:sz w:val="16"/>
      <w:szCs w:val="14"/>
    </w:rPr>
  </w:style>
  <w:style w:type="character" w:customStyle="1" w:styleId="aa">
    <w:name w:val="Текст выноски Знак"/>
    <w:basedOn w:val="a0"/>
    <w:link w:val="a9"/>
    <w:uiPriority w:val="99"/>
    <w:semiHidden/>
    <w:rsid w:val="000E5EDF"/>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ahoma" w:hAnsi="Calibri" w:cs="Noto Sans Devanagari"/>
        <w:kern w:val="2"/>
        <w:sz w:val="22"/>
        <w:szCs w:val="24"/>
        <w:lang w:val="ru-R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80"/>
      <w:u w:val="single"/>
    </w:rPr>
  </w:style>
  <w:style w:type="paragraph" w:customStyle="1" w:styleId="a4">
    <w:name w:val="Заголовок"/>
    <w:basedOn w:val="a"/>
    <w:next w:val="a5"/>
    <w:qFormat/>
    <w:pPr>
      <w:keepNext/>
      <w:spacing w:before="240" w:after="120"/>
    </w:pPr>
    <w:rPr>
      <w:rFonts w:ascii="PT Astra Serif" w:hAnsi="PT Astra Serif"/>
      <w:sz w:val="28"/>
      <w:szCs w:val="28"/>
    </w:rPr>
  </w:style>
  <w:style w:type="paragraph" w:styleId="a5">
    <w:name w:val="Body Text"/>
    <w:basedOn w:val="a"/>
    <w:pPr>
      <w:spacing w:after="140" w:line="276" w:lineRule="auto"/>
    </w:pPr>
  </w:style>
  <w:style w:type="paragraph" w:styleId="a6">
    <w:name w:val="List"/>
    <w:basedOn w:val="a5"/>
    <w:rPr>
      <w:rFonts w:ascii="PT Astra Serif" w:hAnsi="PT Astra Serif"/>
    </w:rPr>
  </w:style>
  <w:style w:type="paragraph" w:styleId="a7">
    <w:name w:val="caption"/>
    <w:basedOn w:val="a"/>
    <w:qFormat/>
    <w:pPr>
      <w:suppressLineNumbers/>
      <w:spacing w:before="120" w:after="120"/>
    </w:pPr>
    <w:rPr>
      <w:rFonts w:ascii="PT Astra Serif" w:hAnsi="PT Astra Serif"/>
      <w:i/>
      <w:iCs/>
      <w:sz w:val="24"/>
    </w:rPr>
  </w:style>
  <w:style w:type="paragraph" w:styleId="a8">
    <w:name w:val="index heading"/>
    <w:basedOn w:val="a"/>
    <w:qFormat/>
    <w:pPr>
      <w:suppressLineNumbers/>
    </w:pPr>
    <w:rPr>
      <w:rFonts w:ascii="PT Astra Serif" w:hAnsi="PT Astra Serif"/>
    </w:rPr>
  </w:style>
  <w:style w:type="paragraph" w:customStyle="1" w:styleId="ConsPlusNormal">
    <w:name w:val="ConsPlusNormal"/>
    <w:qFormat/>
    <w:pPr>
      <w:widowControl w:val="0"/>
    </w:pPr>
    <w:rPr>
      <w:rFonts w:ascii="Times New Roman" w:hAnsi="Times New Roman" w:cs="Times New Roman"/>
      <w:sz w:val="24"/>
    </w:rPr>
  </w:style>
  <w:style w:type="paragraph" w:customStyle="1" w:styleId="ConsPlusNonformat">
    <w:name w:val="ConsPlusNonformat"/>
    <w:qFormat/>
    <w:pPr>
      <w:widowControl w:val="0"/>
    </w:pPr>
    <w:rPr>
      <w:rFonts w:ascii="Courier New" w:hAnsi="Courier New" w:cs="Courier New"/>
      <w:sz w:val="20"/>
    </w:rPr>
  </w:style>
  <w:style w:type="paragraph" w:customStyle="1" w:styleId="ConsPlusTitle">
    <w:name w:val="ConsPlusTitle"/>
    <w:qFormat/>
    <w:pPr>
      <w:widowControl w:val="0"/>
    </w:pPr>
    <w:rPr>
      <w:rFonts w:ascii="Arial" w:hAnsi="Arial" w:cs="Arial"/>
      <w:b/>
      <w:sz w:val="24"/>
    </w:rPr>
  </w:style>
  <w:style w:type="paragraph" w:customStyle="1" w:styleId="ConsPlusCell">
    <w:name w:val="ConsPlusCell"/>
    <w:qFormat/>
    <w:pPr>
      <w:widowControl w:val="0"/>
    </w:pPr>
    <w:rPr>
      <w:rFonts w:ascii="Courier New" w:hAnsi="Courier New" w:cs="Courier New"/>
      <w:sz w:val="20"/>
    </w:rPr>
  </w:style>
  <w:style w:type="paragraph" w:customStyle="1" w:styleId="ConsPlusDocList">
    <w:name w:val="ConsPlusDocList"/>
    <w:qFormat/>
    <w:pPr>
      <w:widowControl w:val="0"/>
    </w:pPr>
    <w:rPr>
      <w:rFonts w:ascii="Tahoma" w:hAnsi="Tahoma" w:cs="Tahoma"/>
      <w:sz w:val="18"/>
    </w:rPr>
  </w:style>
  <w:style w:type="paragraph" w:customStyle="1" w:styleId="ConsPlusTitlePage">
    <w:name w:val="ConsPlusTitlePage"/>
    <w:qFormat/>
    <w:pPr>
      <w:widowControl w:val="0"/>
    </w:pPr>
    <w:rPr>
      <w:rFonts w:ascii="Tahoma" w:hAnsi="Tahoma" w:cs="Tahoma"/>
      <w:sz w:val="20"/>
    </w:rPr>
  </w:style>
  <w:style w:type="paragraph" w:customStyle="1" w:styleId="ConsPlusJurTerm">
    <w:name w:val="ConsPlusJurTerm"/>
    <w:qFormat/>
    <w:pPr>
      <w:widowControl w:val="0"/>
    </w:pPr>
    <w:rPr>
      <w:rFonts w:ascii="Tahoma" w:hAnsi="Tahoma" w:cs="Tahoma"/>
      <w:sz w:val="26"/>
    </w:rPr>
  </w:style>
  <w:style w:type="paragraph" w:customStyle="1" w:styleId="ConsPlusTextList">
    <w:name w:val="ConsPlusTextList"/>
    <w:qFormat/>
    <w:pPr>
      <w:widowControl w:val="0"/>
    </w:pPr>
    <w:rPr>
      <w:rFonts w:ascii="Times New Roman" w:hAnsi="Times New Roman" w:cs="Times New Roman"/>
      <w:sz w:val="24"/>
    </w:rPr>
  </w:style>
  <w:style w:type="paragraph" w:styleId="a9">
    <w:name w:val="Balloon Text"/>
    <w:basedOn w:val="a"/>
    <w:link w:val="aa"/>
    <w:uiPriority w:val="99"/>
    <w:semiHidden/>
    <w:unhideWhenUsed/>
    <w:rsid w:val="000E5EDF"/>
    <w:rPr>
      <w:rFonts w:ascii="Tahoma" w:hAnsi="Tahoma" w:cs="Mangal"/>
      <w:sz w:val="16"/>
      <w:szCs w:val="14"/>
    </w:rPr>
  </w:style>
  <w:style w:type="character" w:customStyle="1" w:styleId="aa">
    <w:name w:val="Текст выноски Знак"/>
    <w:basedOn w:val="a0"/>
    <w:link w:val="a9"/>
    <w:uiPriority w:val="99"/>
    <w:semiHidden/>
    <w:rsid w:val="000E5EDF"/>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hyperlink" Target="file:///C:\Users\kolesova\AppData\Local\Microsoft\Windows\%25D0%2593%25D1%2583%25D0%25B1%25D0%25B8%25D0%25BD%25D1%2581%25D0%25BA%25D0%25B8%25D0%25B9\%25D0%2597%25D0%2590%25D0%2593%25D0%25A0%25D0%25A3%25D0%2597%25D0%259A%25D0%2598\%25D0%25BA%25D0%25BE%25D0%25BC%25D0%25BF%25D0%25BB%25D0%25B5%25D0%25BA%25D1%2581%25D0%25B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3565</Words>
  <Characters>20323</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Постановление Правительства Мурманской области от 13.11.2020 N 795-ПП
(ред. от 01.09.2025)
"О государственной программе Мурманской области "Комфортное жилье и городская среда"</vt:lpstr>
    </vt:vector>
  </TitlesOfParts>
  <Company>КонсультантПлюс Версия 4024.00.50</Company>
  <LinksUpToDate>false</LinksUpToDate>
  <CharactersWithSpaces>23841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Мурманской области от 13.11.2020 N 795-ПП
(ред. от 01.09.2025)
"О государственной программе Мурманской области "Комфортное жилье и городская среда"</dc:title>
  <dc:creator>Колесова Т.С.</dc:creator>
  <cp:lastModifiedBy>Колесова Т.С.</cp:lastModifiedBy>
  <cp:revision>3</cp:revision>
  <dcterms:created xsi:type="dcterms:W3CDTF">2025-09-29T12:59:00Z</dcterms:created>
  <dcterms:modified xsi:type="dcterms:W3CDTF">2025-09-29T13:01:00Z</dcterms:modified>
  <dc:language>ru-RU</dc:language>
</cp:coreProperties>
</file>